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680" w:leader="none"/>
          <w:tab w:val="right" w:pos="9360" w:leader="none"/>
        </w:tabs>
        <w:rPr>
          <w:rFonts w:ascii="Arial" w:hAnsi="Arial"/>
          <w:sz w:val="22"/>
          <w:szCs w:val="22"/>
        </w:rPr>
      </w:pPr>
      <w:r>
        <w:rPr>
          <w:rFonts w:ascii="Arial" w:hAnsi="Arial"/>
          <w:sz w:val="22"/>
          <w:szCs w:val="22"/>
        </w:rPr>
      </w:r>
    </w:p>
    <w:tbl>
      <w:tblPr>
        <w:tblW w:w="9558"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2444"/>
        <w:gridCol w:w="2183"/>
        <w:gridCol w:w="2359"/>
        <w:gridCol w:w="2571"/>
      </w:tblGrid>
      <w:tr>
        <w:trPr/>
        <w:tc>
          <w:tcPr>
            <w:tcW w:w="2444"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b/>
                <w:bCs/>
                <w:kern w:val="2"/>
                <w:sz w:val="22"/>
                <w:szCs w:val="22"/>
              </w:rPr>
              <w:t>Sutarties pavadinimas</w:t>
            </w:r>
          </w:p>
        </w:tc>
        <w:tc>
          <w:tcPr>
            <w:tcW w:w="7113" w:type="dxa"/>
            <w:gridSpan w:val="3"/>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kern w:val="2"/>
                <w:sz w:val="22"/>
                <w:szCs w:val="22"/>
              </w:rPr>
              <w:t>DARBUOTOJŲ DARBO APRANGA</w:t>
            </w:r>
          </w:p>
        </w:tc>
      </w:tr>
      <w:tr>
        <w:trPr/>
        <w:tc>
          <w:tcPr>
            <w:tcW w:w="2444"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b/>
                <w:bCs/>
                <w:kern w:val="2"/>
                <w:sz w:val="22"/>
                <w:szCs w:val="22"/>
              </w:rPr>
              <w:t>Sutarties data</w:t>
            </w:r>
          </w:p>
        </w:tc>
        <w:tc>
          <w:tcPr>
            <w:tcW w:w="2183"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kern w:val="2"/>
                <w:sz w:val="22"/>
                <w:szCs w:val="22"/>
              </w:rPr>
            </w:pPr>
            <w:r>
              <w:rPr>
                <w:rFonts w:ascii="Arial" w:hAnsi="Arial"/>
                <w:kern w:val="2"/>
                <w:sz w:val="22"/>
                <w:szCs w:val="22"/>
              </w:rPr>
            </w:r>
          </w:p>
        </w:tc>
        <w:tc>
          <w:tcPr>
            <w:tcW w:w="2359"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b/>
                <w:bCs/>
                <w:kern w:val="2"/>
                <w:sz w:val="22"/>
                <w:szCs w:val="22"/>
              </w:rPr>
              <w:t>Sutarties numeris</w:t>
            </w:r>
          </w:p>
        </w:tc>
        <w:tc>
          <w:tcPr>
            <w:tcW w:w="2571"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kern w:val="2"/>
                <w:sz w:val="22"/>
                <w:szCs w:val="22"/>
              </w:rPr>
            </w:pPr>
            <w:r>
              <w:rPr>
                <w:rFonts w:ascii="Arial" w:hAnsi="Arial"/>
                <w:kern w:val="2"/>
                <w:sz w:val="22"/>
                <w:szCs w:val="22"/>
              </w:rPr>
            </w:r>
          </w:p>
        </w:tc>
      </w:tr>
    </w:tbl>
    <w:p>
      <w:pPr>
        <w:pStyle w:val="Normal"/>
        <w:jc w:val="both"/>
        <w:rPr>
          <w:rFonts w:ascii="Arial" w:hAnsi="Arial"/>
          <w:sz w:val="22"/>
          <w:szCs w:val="22"/>
        </w:rPr>
      </w:pPr>
      <w:r>
        <w:rPr>
          <w:rFonts w:ascii="Arial" w:hAnsi="Arial"/>
          <w:sz w:val="22"/>
          <w:szCs w:val="22"/>
        </w:rPr>
      </w:r>
    </w:p>
    <w:tbl>
      <w:tblPr>
        <w:tblW w:w="9558"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 SUTARTIES ŠALYS</w:t>
            </w:r>
          </w:p>
        </w:tc>
      </w:tr>
      <w:tr>
        <w:trPr/>
        <w:tc>
          <w:tcPr>
            <w:tcW w:w="2808" w:type="dxa"/>
            <w:vMerge w:val="restart"/>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b/>
                <w:bCs/>
                <w:kern w:val="2"/>
                <w:sz w:val="22"/>
                <w:szCs w:val="22"/>
              </w:rPr>
            </w:pPr>
            <w:r>
              <w:rPr>
                <w:rFonts w:ascii="Arial" w:hAnsi="Arial"/>
                <w:b/>
                <w:bCs/>
                <w:kern w:val="2"/>
                <w:sz w:val="22"/>
                <w:szCs w:val="22"/>
              </w:rPr>
            </w:r>
          </w:p>
          <w:p>
            <w:pPr>
              <w:pStyle w:val="Normal"/>
              <w:jc w:val="center"/>
              <w:rPr>
                <w:rFonts w:ascii="Arial" w:hAnsi="Arial"/>
                <w:b/>
                <w:bCs/>
                <w:kern w:val="2"/>
                <w:sz w:val="22"/>
                <w:szCs w:val="22"/>
              </w:rPr>
            </w:pPr>
            <w:r>
              <w:rPr>
                <w:rFonts w:ascii="Arial" w:hAnsi="Arial"/>
                <w:b/>
                <w:bCs/>
                <w:kern w:val="2"/>
                <w:sz w:val="22"/>
                <w:szCs w:val="22"/>
              </w:rPr>
            </w:r>
          </w:p>
          <w:p>
            <w:pPr>
              <w:pStyle w:val="Normal"/>
              <w:jc w:val="center"/>
              <w:rPr>
                <w:rFonts w:ascii="Arial" w:hAnsi="Arial"/>
                <w:b/>
                <w:bCs/>
                <w:kern w:val="2"/>
                <w:sz w:val="22"/>
                <w:szCs w:val="22"/>
              </w:rPr>
            </w:pPr>
            <w:r>
              <w:rPr>
                <w:rFonts w:ascii="Arial" w:hAnsi="Arial"/>
                <w:b/>
                <w:bCs/>
                <w:kern w:val="2"/>
                <w:sz w:val="22"/>
                <w:szCs w:val="22"/>
              </w:rPr>
            </w:r>
          </w:p>
          <w:p>
            <w:pPr>
              <w:pStyle w:val="Normal"/>
              <w:rPr>
                <w:rFonts w:ascii="Arial" w:hAnsi="Arial"/>
                <w:b/>
                <w:bCs/>
                <w:kern w:val="2"/>
                <w:sz w:val="22"/>
                <w:szCs w:val="22"/>
              </w:rPr>
            </w:pPr>
            <w:r>
              <w:rPr>
                <w:rFonts w:ascii="Arial" w:hAnsi="Arial"/>
                <w:b/>
                <w:bCs/>
                <w:kern w:val="2"/>
                <w:sz w:val="22"/>
                <w:szCs w:val="22"/>
              </w:rPr>
            </w:r>
          </w:p>
          <w:p>
            <w:pPr>
              <w:pStyle w:val="Normal"/>
              <w:rPr>
                <w:rFonts w:ascii="Arial" w:hAnsi="Arial"/>
                <w:sz w:val="22"/>
                <w:szCs w:val="22"/>
              </w:rPr>
            </w:pPr>
            <w:r>
              <w:rPr>
                <w:rFonts w:ascii="Arial" w:hAnsi="Arial"/>
                <w:b/>
                <w:bCs/>
                <w:kern w:val="2"/>
                <w:sz w:val="22"/>
                <w:szCs w:val="22"/>
              </w:rPr>
              <w:t>1.1. Pirkėjas</w:t>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1.1.1. Pavadinimas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eastAsia="Calibri" w:cs="Arial" w:ascii="Arial" w:hAnsi="Arial"/>
                <w:b/>
                <w:iCs/>
                <w:color w:themeColor="text1" w:val="000000"/>
                <w:sz w:val="22"/>
                <w:szCs w:val="22"/>
              </w:rPr>
              <w:t>V</w:t>
            </w:r>
            <w:r>
              <w:rPr>
                <w:rFonts w:eastAsia="Calibri" w:cs="Arial" w:ascii="Arial" w:hAnsi="Arial"/>
                <w:b/>
                <w:bCs/>
                <w:iCs/>
                <w:color w:themeColor="text1" w:val="000000"/>
                <w:sz w:val="22"/>
                <w:szCs w:val="22"/>
              </w:rPr>
              <w:t>alstybės įmonė Valstybinių miškų urėdija</w:t>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1.1.2. Juridinio asmens kodas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cs="Arial" w:ascii="Arial" w:hAnsi="Arial"/>
                <w:color w:themeColor="text1" w:val="000000"/>
                <w:sz w:val="22"/>
                <w:szCs w:val="22"/>
              </w:rPr>
              <w:t>132340880</w:t>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1.1.3. Adresas</w:t>
            </w:r>
          </w:p>
        </w:tc>
        <w:tc>
          <w:tcPr>
            <w:tcW w:w="3510" w:type="dxa"/>
            <w:tcBorders>
              <w:top w:val="single" w:sz="4" w:space="0" w:color="000000"/>
              <w:start w:val="single" w:sz="4" w:space="0" w:color="000000"/>
              <w:bottom w:val="single" w:sz="4" w:space="0" w:color="000000"/>
              <w:end w:val="single" w:sz="4" w:space="0" w:color="000000"/>
            </w:tcBorders>
          </w:tcPr>
          <w:p>
            <w:pPr>
              <w:pStyle w:val="Normal"/>
              <w:tabs>
                <w:tab w:val="clear" w:pos="1296"/>
                <w:tab w:val="left" w:pos="3060" w:leader="none"/>
              </w:tabs>
              <w:jc w:val="both"/>
              <w:rPr>
                <w:rFonts w:ascii="Arial" w:hAnsi="Arial"/>
                <w:sz w:val="22"/>
                <w:szCs w:val="22"/>
              </w:rPr>
            </w:pPr>
            <w:r>
              <w:rPr>
                <w:rFonts w:cs="Arial" w:ascii="Arial" w:hAnsi="Arial"/>
                <w:bCs/>
                <w:iCs/>
                <w:sz w:val="22"/>
                <w:szCs w:val="22"/>
                <w:lang w:eastAsia="ar-SA"/>
              </w:rPr>
              <w:t>Registracijos adresas:</w:t>
            </w:r>
          </w:p>
          <w:p>
            <w:pPr>
              <w:pStyle w:val="Normal"/>
              <w:tabs>
                <w:tab w:val="clear" w:pos="1296"/>
                <w:tab w:val="left" w:pos="3060" w:leader="none"/>
              </w:tabs>
              <w:jc w:val="both"/>
              <w:rPr>
                <w:rFonts w:ascii="Arial" w:hAnsi="Arial"/>
                <w:sz w:val="22"/>
                <w:szCs w:val="22"/>
              </w:rPr>
            </w:pPr>
            <w:r>
              <w:rPr>
                <w:rFonts w:cs="Arial" w:ascii="Arial" w:hAnsi="Arial"/>
                <w:bCs/>
                <w:iCs/>
                <w:sz w:val="22"/>
                <w:szCs w:val="22"/>
                <w:lang w:eastAsia="ar-SA"/>
              </w:rPr>
              <w:t>Pramonės pr. 11A-9, 51327 Kaunas</w:t>
            </w:r>
          </w:p>
          <w:p>
            <w:pPr>
              <w:pStyle w:val="Normal"/>
              <w:tabs>
                <w:tab w:val="clear" w:pos="1296"/>
                <w:tab w:val="left" w:pos="3060" w:leader="none"/>
              </w:tabs>
              <w:jc w:val="both"/>
              <w:rPr>
                <w:rFonts w:ascii="Arial" w:hAnsi="Arial"/>
                <w:sz w:val="22"/>
                <w:szCs w:val="22"/>
              </w:rPr>
            </w:pPr>
            <w:r>
              <w:rPr>
                <w:rFonts w:cs="Arial" w:ascii="Arial" w:hAnsi="Arial"/>
                <w:bCs/>
                <w:iCs/>
                <w:sz w:val="22"/>
                <w:szCs w:val="22"/>
                <w:lang w:eastAsia="ar-SA"/>
              </w:rPr>
              <w:t>Buveinės adresas:</w:t>
            </w:r>
          </w:p>
          <w:p>
            <w:pPr>
              <w:pStyle w:val="Normal"/>
              <w:jc w:val="both"/>
              <w:rPr>
                <w:rFonts w:ascii="Arial" w:hAnsi="Arial"/>
                <w:sz w:val="22"/>
                <w:szCs w:val="22"/>
              </w:rPr>
            </w:pPr>
            <w:r>
              <w:rPr>
                <w:rFonts w:cs="Arial" w:ascii="Arial" w:hAnsi="Arial"/>
                <w:bCs/>
                <w:iCs/>
                <w:sz w:val="22"/>
                <w:szCs w:val="22"/>
                <w:lang w:eastAsia="ar-SA"/>
              </w:rPr>
              <w:t>Savanorių pr. 176, 03154 Vilnius</w:t>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1.1.4. PVM mokėtojo kodas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cs="Arial" w:ascii="Arial" w:hAnsi="Arial"/>
                <w:kern w:val="2"/>
                <w:sz w:val="22"/>
                <w:szCs w:val="22"/>
              </w:rPr>
              <w:t>LT323408811</w:t>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1.1.5. Atsiskaitomoji sąskaita</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cs="Arial" w:ascii="Arial" w:hAnsi="Arial"/>
                <w:kern w:val="2"/>
                <w:sz w:val="22"/>
                <w:szCs w:val="22"/>
              </w:rPr>
              <w:t>LT38 7300 0101 5381 2980</w:t>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1.1.6. Bankas, banko kodas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cs="Arial"/>
                <w:kern w:val="2"/>
                <w:sz w:val="22"/>
                <w:szCs w:val="22"/>
              </w:rPr>
            </w:pPr>
            <w:r>
              <w:rPr>
                <w:rFonts w:cs="Arial"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1.1.7. Telefonas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cs="Arial" w:ascii="Arial" w:hAnsi="Arial"/>
                <w:kern w:val="2"/>
                <w:sz w:val="22"/>
                <w:szCs w:val="22"/>
              </w:rPr>
              <w:t>+37052734021</w:t>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1.1.8. El. paštas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cs="Arial" w:ascii="Arial" w:hAnsi="Arial"/>
                <w:kern w:val="2"/>
                <w:sz w:val="22"/>
                <w:szCs w:val="22"/>
              </w:rPr>
              <w:t>info@vmu.lt</w:t>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1.1.9. Šalies atstovas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kern w:val="2"/>
                <w:sz w:val="22"/>
                <w:szCs w:val="22"/>
              </w:rPr>
            </w:pPr>
            <w:r>
              <w:rPr>
                <w:rFonts w:ascii="Arial" w:hAnsi="Arial"/>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1.1.10. Atstovavimo pagrindas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restart"/>
            <w:tcBorders>
              <w:top w:val="single" w:sz="4" w:space="0" w:color="000000"/>
              <w:start w:val="single" w:sz="4" w:space="0" w:color="000000"/>
              <w:bottom w:val="single" w:sz="4" w:space="0" w:color="000000"/>
              <w:end w:val="single" w:sz="4" w:space="0" w:color="000000"/>
            </w:tcBorders>
          </w:tcPr>
          <w:p>
            <w:pPr>
              <w:pStyle w:val="Normal"/>
              <w:rPr>
                <w:rFonts w:ascii="Arial" w:hAnsi="Arial"/>
                <w:b/>
                <w:bCs/>
                <w:kern w:val="2"/>
                <w:sz w:val="22"/>
                <w:szCs w:val="22"/>
              </w:rPr>
            </w:pPr>
            <w:r>
              <w:rPr>
                <w:rFonts w:ascii="Arial" w:hAnsi="Arial"/>
                <w:b/>
                <w:bCs/>
                <w:kern w:val="2"/>
                <w:sz w:val="22"/>
                <w:szCs w:val="22"/>
              </w:rPr>
            </w:r>
          </w:p>
          <w:p>
            <w:pPr>
              <w:pStyle w:val="Normal"/>
              <w:rPr>
                <w:rFonts w:ascii="Arial" w:hAnsi="Arial"/>
                <w:b/>
                <w:bCs/>
                <w:kern w:val="2"/>
                <w:sz w:val="22"/>
                <w:szCs w:val="22"/>
              </w:rPr>
            </w:pPr>
            <w:r>
              <w:rPr>
                <w:rFonts w:ascii="Arial" w:hAnsi="Arial"/>
                <w:b/>
                <w:bCs/>
                <w:kern w:val="2"/>
                <w:sz w:val="22"/>
                <w:szCs w:val="22"/>
              </w:rPr>
            </w:r>
          </w:p>
          <w:p>
            <w:pPr>
              <w:pStyle w:val="Normal"/>
              <w:rPr>
                <w:rFonts w:ascii="Arial" w:hAnsi="Arial"/>
                <w:b/>
                <w:bCs/>
                <w:color w:val="FF0000"/>
                <w:kern w:val="2"/>
                <w:sz w:val="22"/>
                <w:szCs w:val="22"/>
              </w:rPr>
            </w:pPr>
            <w:r>
              <w:rPr>
                <w:rFonts w:ascii="Arial" w:hAnsi="Arial"/>
                <w:b/>
                <w:bCs/>
                <w:color w:val="FF0000"/>
                <w:kern w:val="2"/>
                <w:sz w:val="22"/>
                <w:szCs w:val="22"/>
              </w:rPr>
            </w:r>
          </w:p>
          <w:p>
            <w:pPr>
              <w:pStyle w:val="Normal"/>
              <w:rPr>
                <w:rFonts w:ascii="Arial" w:hAnsi="Arial"/>
                <w:sz w:val="22"/>
                <w:szCs w:val="22"/>
              </w:rPr>
            </w:pPr>
            <w:r>
              <w:rPr>
                <w:rFonts w:ascii="Arial" w:hAnsi="Arial"/>
                <w:b/>
                <w:bCs/>
                <w:kern w:val="2"/>
                <w:sz w:val="22"/>
                <w:szCs w:val="22"/>
              </w:rPr>
              <w:t>1.2. Tiekėjas</w:t>
            </w:r>
          </w:p>
          <w:p>
            <w:pPr>
              <w:pStyle w:val="Normal"/>
              <w:rPr>
                <w:rFonts w:ascii="Arial" w:hAnsi="Arial"/>
                <w:sz w:val="22"/>
                <w:szCs w:val="22"/>
              </w:rPr>
            </w:pPr>
            <w:r>
              <w:rPr>
                <w:rFonts w:ascii="Arial" w:hAnsi="Arial"/>
                <w:color w:val="0070C0"/>
                <w:kern w:val="2"/>
                <w:sz w:val="22"/>
                <w:szCs w:val="22"/>
              </w:rPr>
              <w:t>(jei Tiekėjas yra fizinis asmuo, skiltys atitinkamai pakoreguojamos.</w:t>
            </w:r>
          </w:p>
          <w:p>
            <w:pPr>
              <w:pStyle w:val="Normal"/>
              <w:rPr>
                <w:rFonts w:ascii="Arial" w:hAnsi="Arial"/>
                <w:sz w:val="22"/>
                <w:szCs w:val="22"/>
              </w:rPr>
            </w:pPr>
            <w:r>
              <w:rPr>
                <w:rFonts w:ascii="Arial" w:hAnsi="Arial"/>
                <w:color w:val="0070C0"/>
                <w:kern w:val="2"/>
                <w:sz w:val="22"/>
                <w:szCs w:val="22"/>
              </w:rPr>
              <w:t>Jei Tiekėjas yra tiekėjų grupė, skiltys pildomos įterpiant kiekvieno grupės nario informaciją)</w:t>
            </w:r>
          </w:p>
          <w:p>
            <w:pPr>
              <w:pStyle w:val="Normal"/>
              <w:rPr>
                <w:rFonts w:ascii="Arial" w:hAnsi="Arial"/>
                <w:color w:val="0070C0"/>
                <w:kern w:val="2"/>
                <w:sz w:val="22"/>
                <w:szCs w:val="22"/>
              </w:rPr>
            </w:pPr>
            <w:r>
              <w:rPr>
                <w:rFonts w:ascii="Arial" w:hAnsi="Arial"/>
                <w:color w:val="0070C0"/>
                <w:kern w:val="2"/>
                <w:sz w:val="22"/>
                <w:szCs w:val="22"/>
              </w:rPr>
            </w:r>
          </w:p>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1.2.1. Pavadinimas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1.2.2. Juridinio asmens kodas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1.2.3. Adresas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1.2.4. PVM mokėtojo kodas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1.2.5. Atsiskaitomoji sąskaita</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1.2.6. Bankas, banko kodas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1.2.7. Telefonas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1.2.8. El. paštas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1.2.9. Šalies atstovas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r>
        <w:trPr/>
        <w:tc>
          <w:tcPr>
            <w:tcW w:w="2808" w:type="dxa"/>
            <w:vMerge w:val="continue"/>
            <w:tcBorders>
              <w:top w:val="single" w:sz="4" w:space="0" w:color="000000"/>
              <w:start w:val="single" w:sz="4" w:space="0" w:color="000000"/>
              <w:bottom w:val="single" w:sz="4" w:space="0" w:color="000000"/>
              <w:end w:val="single" w:sz="4" w:space="0" w:color="000000"/>
            </w:tcBorders>
          </w:tcPr>
          <w:p>
            <w:pPr>
              <w:pStyle w:val="Normal"/>
              <w:rPr>
                <w:rFonts w:ascii="Arial" w:hAnsi="Arial"/>
                <w:b/>
                <w:bCs/>
                <w:kern w:val="2"/>
                <w:sz w:val="22"/>
                <w:szCs w:val="22"/>
              </w:rPr>
            </w:pPr>
            <w:r>
              <w:rPr>
                <w:rFonts w:ascii="Arial" w:hAnsi="Arial"/>
                <w:b/>
                <w:bCs/>
                <w:kern w:val="2"/>
                <w:sz w:val="22"/>
                <w:szCs w:val="22"/>
              </w:rPr>
            </w:r>
          </w:p>
        </w:tc>
        <w:tc>
          <w:tcPr>
            <w:tcW w:w="3240"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1.2.10. Atstovavimo pagrindas</w:t>
            </w:r>
          </w:p>
        </w:tc>
        <w:tc>
          <w:tcPr>
            <w:tcW w:w="3510"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kern w:val="2"/>
                <w:sz w:val="22"/>
                <w:szCs w:val="22"/>
              </w:rPr>
            </w:pPr>
            <w:r>
              <w:rPr>
                <w:rFonts w:ascii="Arial" w:hAnsi="Arial"/>
                <w:kern w:val="2"/>
                <w:sz w:val="22"/>
                <w:szCs w:val="22"/>
              </w:rPr>
            </w:r>
          </w:p>
        </w:tc>
      </w:tr>
    </w:tbl>
    <w:p>
      <w:pPr>
        <w:pStyle w:val="Normal"/>
        <w:jc w:val="both"/>
        <w:rPr>
          <w:rFonts w:ascii="Arial" w:hAnsi="Arial"/>
          <w:sz w:val="22"/>
          <w:szCs w:val="22"/>
        </w:rPr>
      </w:pPr>
      <w:r>
        <w:rPr>
          <w:rFonts w:ascii="Arial" w:hAnsi="Arial"/>
          <w:sz w:val="22"/>
          <w:szCs w:val="22"/>
        </w:rPr>
      </w:r>
    </w:p>
    <w:tbl>
      <w:tblPr>
        <w:tblW w:w="9535"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2529"/>
        <w:gridCol w:w="177"/>
        <w:gridCol w:w="2077"/>
        <w:gridCol w:w="4751"/>
      </w:tblGrid>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2. ATSAKINGI ASMENYS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4472C4"/>
                <w:kern w:val="2"/>
                <w:sz w:val="22"/>
                <w:szCs w:val="22"/>
              </w:rPr>
              <w:t>(nurodyti padalinį / skyrių, pareigas, vardą, pavardę, tel., el. paštą)</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2.2. Tiekėjo kontaktiniai asmenys, atsakingi už Sutarties vykdymą</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4472C4"/>
                <w:kern w:val="2"/>
                <w:sz w:val="22"/>
                <w:szCs w:val="22"/>
              </w:rPr>
              <w:t>(nurodyti padalinį / skyrių, pareigas, vardą, pavardę, tel., el. paštą)</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3. SUTARTIES DALYKAS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3.1. Sutarties dalykas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Tiekėja</w:t>
            </w:r>
            <w:r>
              <w:rPr>
                <w:rFonts w:ascii="Arial" w:hAnsi="Arial"/>
                <w:color w:val="000000"/>
                <w:kern w:val="2"/>
                <w:sz w:val="22"/>
                <w:szCs w:val="22"/>
              </w:rPr>
              <w:t>s įsipareigoja Sutartyje numatytomis sąlygomis perduoti Pirkėjui Prekes darbo aprangą (</w:t>
            </w:r>
          </w:p>
          <w:p>
            <w:pPr>
              <w:pStyle w:val="ListParagraph"/>
              <w:ind w:start="0"/>
              <w:jc w:val="both"/>
              <w:rPr>
                <w:color w:val="000000"/>
              </w:rPr>
            </w:pPr>
            <w:r>
              <w:rPr>
                <w:rFonts w:eastAsia="Arial" w:cs="Arial" w:ascii="Arial" w:hAnsi="Arial"/>
                <w:b/>
                <w:color w:val="000000"/>
                <w:sz w:val="22"/>
                <w:szCs w:val="22"/>
              </w:rPr>
              <w:t>1 p.o.d.</w:t>
            </w:r>
            <w:r>
              <w:rPr>
                <w:rFonts w:eastAsia="Arial" w:cs="Arial" w:ascii="Arial" w:hAnsi="Arial"/>
                <w:bCs/>
                <w:color w:val="000000"/>
                <w:sz w:val="22"/>
                <w:szCs w:val="22"/>
              </w:rPr>
              <w:t xml:space="preserve"> –Darbo apranga: striukė nuo lietaus, striukė, šilta striukė (pašiltinimas), kelnės demisezoninės, kelnės vasarinės, vasarinė kepurė; </w:t>
            </w:r>
          </w:p>
          <w:p>
            <w:pPr>
              <w:pStyle w:val="ListParagraph"/>
              <w:spacing w:before="0" w:after="0"/>
              <w:ind w:start="0"/>
              <w:contextualSpacing/>
              <w:jc w:val="both"/>
              <w:rPr>
                <w:color w:val="000000"/>
              </w:rPr>
            </w:pPr>
            <w:r>
              <w:rPr>
                <w:rFonts w:eastAsia="Arial" w:cs="Arial" w:ascii="Arial" w:hAnsi="Arial"/>
                <w:b/>
                <w:color w:val="000000"/>
                <w:sz w:val="22"/>
                <w:szCs w:val="22"/>
              </w:rPr>
              <w:t>2 p.o.d.</w:t>
            </w:r>
            <w:r>
              <w:rPr>
                <w:rFonts w:eastAsia="Arial" w:cs="Arial" w:ascii="Arial" w:hAnsi="Arial"/>
                <w:bCs/>
                <w:color w:val="000000"/>
                <w:sz w:val="22"/>
                <w:szCs w:val="22"/>
              </w:rPr>
              <w:t xml:space="preserve"> – Džemperis;</w:t>
            </w:r>
          </w:p>
          <w:p>
            <w:pPr>
              <w:pStyle w:val="Normal"/>
              <w:jc w:val="both"/>
              <w:rPr>
                <w:color w:val="000000"/>
              </w:rPr>
            </w:pPr>
            <w:r>
              <w:rPr>
                <w:rFonts w:eastAsia="Arial" w:cs="Arial" w:ascii="Arial" w:hAnsi="Arial"/>
                <w:b/>
                <w:bCs/>
                <w:iCs/>
                <w:color w:val="000000"/>
                <w:kern w:val="2"/>
                <w:sz w:val="22"/>
                <w:szCs w:val="22"/>
              </w:rPr>
              <w:t>3 p.o.d.</w:t>
            </w:r>
            <w:r>
              <w:rPr>
                <w:rFonts w:eastAsia="Arial" w:cs="Arial" w:ascii="Arial" w:hAnsi="Arial"/>
                <w:bCs/>
                <w:iCs/>
                <w:color w:val="000000"/>
                <w:kern w:val="2"/>
                <w:sz w:val="22"/>
                <w:szCs w:val="22"/>
              </w:rPr>
              <w:t xml:space="preserve"> – Polo marškinėliai.</w:t>
            </w:r>
            <w:r>
              <w:rPr>
                <w:rFonts w:ascii="Arial" w:hAnsi="Arial"/>
                <w:color w:val="000000"/>
                <w:kern w:val="2"/>
                <w:sz w:val="22"/>
                <w:szCs w:val="22"/>
              </w:rPr>
              <w:t>) (toliau – Prekės).</w:t>
            </w:r>
          </w:p>
          <w:p>
            <w:pPr>
              <w:pStyle w:val="Normal"/>
              <w:jc w:val="both"/>
              <w:rPr>
                <w:color w:val="000000"/>
              </w:rPr>
            </w:pPr>
            <w:r>
              <w:rPr>
                <w:rFonts w:ascii="Arial" w:hAnsi="Arial"/>
                <w:color w:val="000000"/>
                <w:kern w:val="2"/>
                <w:sz w:val="22"/>
                <w:szCs w:val="22"/>
              </w:rPr>
              <w:t>Išsamus Prekių aprašymas ir kiti reikalavimai tiekiamoms Prekėms nustatyti Sutarties priede Nr. 1 „Techninė specifikacija“ (toliau – Techninė specifikacija) ir Sutarties priede Nr. 2 „Pasiūlymas“.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3.2. Pirkimo pavadinimas ir numeris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kern w:val="2"/>
                <w:sz w:val="22"/>
                <w:szCs w:val="22"/>
              </w:rPr>
            </w:pPr>
            <w:r>
              <w:rPr>
                <w:rFonts w:ascii="Arial" w:hAnsi="Arial"/>
                <w:kern w:val="2"/>
                <w:sz w:val="22"/>
                <w:szCs w:val="22"/>
              </w:rPr>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3.3. Informacija apie Europos Sąjungos lėšomis finansuojamą projektą arba kitą projektą</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4. PREKIŲ PRISTATYMO TERMINAI IR PREKIŲ PERDAVIMO - PRIĖMIMO TVARKA</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4.1. Prekių pristatymo terminai, kai Prekės pristatomos dalimis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rPr>
              <w:t>Tiekėjas įsipareigoja pristatyti Prekes Techninės specifikacijos IX skyriuje nustatytais terminais ir sąlygomis.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4.2. Prekių (ar jų dalies) pristatymo termino pratęsimas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1 (vieną) darbo dieną, apie tai praneša Pirkėjui, pateikdamas minėtų aplinkybių egzistavimo įrodymus. Nurodytas aplinkybes vertina Pirkėjas. Pirkėjui sutikus, Prekių pristatymo terminas gali būti pratęsiamas tik minėtų aplinkybių egzistavimo laikotarpiui, bet ne ilgiau nei 2 (dviejų) savaičių laikotarpiui.</w:t>
            </w:r>
          </w:p>
          <w:p>
            <w:pPr>
              <w:pStyle w:val="Normal"/>
              <w:jc w:val="both"/>
              <w:rPr>
                <w:rFonts w:ascii="Arial" w:hAnsi="Arial"/>
                <w:color w:val="000000"/>
                <w:sz w:val="22"/>
                <w:szCs w:val="22"/>
              </w:rPr>
            </w:pPr>
            <w:r>
              <w:rPr>
                <w:rFonts w:ascii="Arial" w:hAnsi="Arial"/>
                <w:color w:val="000000"/>
                <w:sz w:val="22"/>
                <w:szCs w:val="22"/>
              </w:rPr>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4.3. Užsakymų teikimo tvarka</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rPr>
              <w:t>Užsakymai teikiami Tiekėjo nurodytu elektroniniu paštu ir laikomi gautais nedelsiant nuo užsakymo pateikimo.</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4.4. Dėl minimalios užsakymo vertės / apimties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cs="Arial" w:ascii="Arial" w:hAnsi="Arial"/>
                <w:color w:val="000000"/>
                <w:kern w:val="2"/>
                <w:sz w:val="22"/>
                <w:szCs w:val="22"/>
              </w:rPr>
              <w:t>Minimalus užsakymas ne mažesnis kaip 2% (du) procentai  nuo bendros pirkimo objekto dalies vertės.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4.5. Kartu su Prekėmis pateikiami dokumentai</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Kartu su Pr</w:t>
            </w:r>
            <w:r>
              <w:rPr>
                <w:rFonts w:ascii="Arial" w:hAnsi="Arial"/>
                <w:color w:val="000000"/>
                <w:kern w:val="2"/>
                <w:sz w:val="22"/>
                <w:szCs w:val="22"/>
              </w:rPr>
              <w:t>ekėmis pateikiami šie dokumentai: perdavimo-priėmimo aktai ir Sąskaita. Tiekėjui nepateikus nurodytų dokumentų, laikoma, kad Prekės neatitinka S</w:t>
            </w:r>
            <w:r>
              <w:rPr>
                <w:rFonts w:ascii="Arial" w:hAnsi="Arial"/>
                <w:kern w:val="2"/>
                <w:sz w:val="22"/>
                <w:szCs w:val="22"/>
              </w:rPr>
              <w:t>utartyje nustatytų reikalavimų.</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5. SUTARTIES KAINA IR ATSISKAITYMO TVARKA</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5.1. Sutarčiai taikomas kainos apskaičiavimo būdas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Fiksuoto įkainio kainodara</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 xml:space="preserve">5.2. Pradinės Sutarties vertė ir Sutarties kaina, kai taikoma </w:t>
            </w:r>
            <w:r>
              <w:rPr>
                <w:rFonts w:ascii="Arial" w:hAnsi="Arial"/>
                <w:b/>
                <w:bCs/>
                <w:kern w:val="2"/>
                <w:sz w:val="22"/>
                <w:szCs w:val="22"/>
                <w:u w:val="single"/>
              </w:rPr>
              <w:t>fiksuoto įkainio</w:t>
            </w:r>
            <w:r>
              <w:rPr>
                <w:rFonts w:ascii="Arial" w:hAnsi="Arial"/>
                <w:b/>
                <w:bCs/>
                <w:kern w:val="2"/>
                <w:sz w:val="22"/>
                <w:szCs w:val="22"/>
              </w:rPr>
              <w:t xml:space="preserve"> kainodara</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sz w:val="22"/>
                <w:szCs w:val="22"/>
              </w:rPr>
              <w:t>Pradinės Sutarties vertė yra:</w:t>
            </w:r>
          </w:p>
          <w:p>
            <w:pPr>
              <w:pStyle w:val="Normal"/>
              <w:jc w:val="both"/>
              <w:rPr>
                <w:rFonts w:ascii="Arial" w:hAnsi="Arial"/>
                <w:sz w:val="22"/>
                <w:szCs w:val="22"/>
              </w:rPr>
            </w:pPr>
            <w:r>
              <w:rPr>
                <w:rFonts w:ascii="Arial" w:hAnsi="Arial"/>
                <w:sz w:val="22"/>
                <w:szCs w:val="22"/>
              </w:rPr>
            </w:r>
          </w:p>
          <w:p>
            <w:pPr>
              <w:pStyle w:val="Normal"/>
              <w:jc w:val="both"/>
              <w:rPr>
                <w:rFonts w:ascii="Arial" w:hAnsi="Arial"/>
                <w:sz w:val="22"/>
                <w:szCs w:val="22"/>
              </w:rPr>
            </w:pPr>
            <w:r>
              <w:rPr>
                <w:rFonts w:ascii="Arial" w:hAnsi="Arial"/>
                <w:sz w:val="22"/>
                <w:szCs w:val="22"/>
              </w:rPr>
              <w:t>1 p.o.d. 2 156 000,00 Eur, (du milijonai šimtas penkiasdešimt šeši tūkstančiai eurų, 00 centų) be PVM.</w:t>
            </w:r>
          </w:p>
          <w:p>
            <w:pPr>
              <w:pStyle w:val="Normal"/>
              <w:jc w:val="both"/>
              <w:rPr>
                <w:rFonts w:ascii="Arial" w:hAnsi="Arial"/>
                <w:sz w:val="22"/>
                <w:szCs w:val="22"/>
              </w:rPr>
            </w:pPr>
            <w:r>
              <w:rPr>
                <w:rFonts w:ascii="Arial" w:hAnsi="Arial"/>
                <w:sz w:val="22"/>
                <w:szCs w:val="22"/>
              </w:rPr>
              <w:t>PVM sudaro (</w:t>
            </w:r>
            <w:r>
              <w:rPr>
                <w:rFonts w:ascii="Arial" w:hAnsi="Arial"/>
                <w:color w:themeColor="accent5" w:val="4472C4"/>
                <w:sz w:val="22"/>
                <w:szCs w:val="22"/>
              </w:rPr>
              <w:t>nurodyti sumą skaičiais</w:t>
            </w:r>
            <w:r>
              <w:rPr>
                <w:rFonts w:ascii="Arial" w:hAnsi="Arial"/>
                <w:sz w:val="22"/>
                <w:szCs w:val="22"/>
              </w:rPr>
              <w:t>) Eur, (</w:t>
            </w:r>
            <w:r>
              <w:rPr>
                <w:rFonts w:ascii="Arial" w:hAnsi="Arial"/>
                <w:color w:themeColor="accent5" w:val="4472C4"/>
                <w:sz w:val="22"/>
                <w:szCs w:val="22"/>
              </w:rPr>
              <w:t>nurodyti sumą žodžiais</w:t>
            </w:r>
            <w:r>
              <w:rPr>
                <w:rFonts w:ascii="Arial" w:hAnsi="Arial"/>
                <w:sz w:val="22"/>
                <w:szCs w:val="22"/>
              </w:rPr>
              <w:t>).</w:t>
            </w:r>
          </w:p>
          <w:p>
            <w:pPr>
              <w:pStyle w:val="Normal"/>
              <w:jc w:val="both"/>
              <w:rPr>
                <w:rFonts w:ascii="Arial" w:hAnsi="Arial"/>
                <w:sz w:val="22"/>
                <w:szCs w:val="22"/>
              </w:rPr>
            </w:pPr>
            <w:r>
              <w:rPr>
                <w:rFonts w:ascii="Arial" w:hAnsi="Arial"/>
                <w:sz w:val="22"/>
                <w:szCs w:val="22"/>
              </w:rPr>
              <w:t>Sutarties kaina yra (</w:t>
            </w:r>
            <w:r>
              <w:rPr>
                <w:rFonts w:ascii="Arial" w:hAnsi="Arial"/>
                <w:color w:themeColor="accent5" w:val="4472C4"/>
                <w:sz w:val="22"/>
                <w:szCs w:val="22"/>
              </w:rPr>
              <w:t>nurodyti sumą skaičiais</w:t>
            </w:r>
            <w:r>
              <w:rPr>
                <w:rFonts w:ascii="Arial" w:hAnsi="Arial"/>
                <w:sz w:val="22"/>
                <w:szCs w:val="22"/>
              </w:rPr>
              <w:t>) Eur, (</w:t>
            </w:r>
            <w:r>
              <w:rPr>
                <w:rFonts w:ascii="Arial" w:hAnsi="Arial"/>
                <w:color w:themeColor="accent5" w:val="4472C4"/>
                <w:sz w:val="22"/>
                <w:szCs w:val="22"/>
              </w:rPr>
              <w:t>nurodyti sumą žodžiais</w:t>
            </w:r>
            <w:r>
              <w:rPr>
                <w:rFonts w:ascii="Arial" w:hAnsi="Arial"/>
                <w:sz w:val="22"/>
                <w:szCs w:val="22"/>
              </w:rPr>
              <w:t>) Eur su PVM.</w:t>
            </w:r>
          </w:p>
          <w:p>
            <w:pPr>
              <w:pStyle w:val="Normal"/>
              <w:jc w:val="both"/>
              <w:rPr>
                <w:rFonts w:ascii="Arial" w:hAnsi="Arial"/>
                <w:sz w:val="22"/>
                <w:szCs w:val="22"/>
              </w:rPr>
            </w:pPr>
            <w:r>
              <w:rPr>
                <w:rFonts w:ascii="Arial" w:hAnsi="Arial"/>
                <w:sz w:val="22"/>
                <w:szCs w:val="22"/>
              </w:rPr>
            </w:r>
          </w:p>
          <w:p>
            <w:pPr>
              <w:pStyle w:val="Normal"/>
              <w:jc w:val="both"/>
              <w:rPr>
                <w:rFonts w:ascii="Arial" w:hAnsi="Arial"/>
                <w:sz w:val="22"/>
                <w:szCs w:val="22"/>
              </w:rPr>
            </w:pPr>
            <w:r>
              <w:rPr>
                <w:rFonts w:ascii="Arial" w:hAnsi="Arial"/>
                <w:sz w:val="22"/>
                <w:szCs w:val="22"/>
              </w:rPr>
              <w:t>2 p.o.d. 567 000,00 Eur, (penki šimtai šešiasdešimt septyni tūkstančiai eurų, 00 centų) be PVM.</w:t>
            </w:r>
          </w:p>
          <w:p>
            <w:pPr>
              <w:pStyle w:val="Normal"/>
              <w:jc w:val="both"/>
              <w:rPr>
                <w:rFonts w:ascii="Arial" w:hAnsi="Arial"/>
                <w:sz w:val="22"/>
                <w:szCs w:val="22"/>
              </w:rPr>
            </w:pPr>
            <w:r>
              <w:rPr>
                <w:rFonts w:ascii="Arial" w:hAnsi="Arial"/>
                <w:sz w:val="22"/>
                <w:szCs w:val="22"/>
              </w:rPr>
              <w:t>PVM sudaro (</w:t>
            </w:r>
            <w:r>
              <w:rPr>
                <w:rFonts w:ascii="Arial" w:hAnsi="Arial"/>
                <w:color w:themeColor="accent5" w:val="4472C4"/>
                <w:sz w:val="22"/>
                <w:szCs w:val="22"/>
              </w:rPr>
              <w:t>nurodyti sumą skaičiais</w:t>
            </w:r>
            <w:r>
              <w:rPr>
                <w:rFonts w:ascii="Arial" w:hAnsi="Arial"/>
                <w:sz w:val="22"/>
                <w:szCs w:val="22"/>
              </w:rPr>
              <w:t>) Eur, (</w:t>
            </w:r>
            <w:r>
              <w:rPr>
                <w:rFonts w:ascii="Arial" w:hAnsi="Arial"/>
                <w:color w:themeColor="accent5" w:val="4472C4"/>
                <w:sz w:val="22"/>
                <w:szCs w:val="22"/>
              </w:rPr>
              <w:t>nurodyti sumą žodžiais</w:t>
            </w:r>
            <w:r>
              <w:rPr>
                <w:rFonts w:ascii="Arial" w:hAnsi="Arial"/>
                <w:sz w:val="22"/>
                <w:szCs w:val="22"/>
              </w:rPr>
              <w:t>).</w:t>
            </w:r>
          </w:p>
          <w:p>
            <w:pPr>
              <w:pStyle w:val="Normal"/>
              <w:jc w:val="both"/>
              <w:rPr>
                <w:rFonts w:ascii="Arial" w:hAnsi="Arial"/>
                <w:sz w:val="22"/>
                <w:szCs w:val="22"/>
              </w:rPr>
            </w:pPr>
            <w:r>
              <w:rPr>
                <w:rFonts w:ascii="Arial" w:hAnsi="Arial"/>
                <w:sz w:val="22"/>
                <w:szCs w:val="22"/>
              </w:rPr>
              <w:t xml:space="preserve">Sutarties kaina yra </w:t>
            </w:r>
            <w:r>
              <w:rPr>
                <w:rFonts w:ascii="Arial" w:hAnsi="Arial"/>
                <w:color w:val="4472C4"/>
                <w:sz w:val="22"/>
                <w:szCs w:val="22"/>
              </w:rPr>
              <w:t>(nurodyti sumą skaičiais)</w:t>
            </w:r>
            <w:r>
              <w:rPr>
                <w:rFonts w:ascii="Arial" w:hAnsi="Arial"/>
                <w:sz w:val="22"/>
                <w:szCs w:val="22"/>
              </w:rPr>
              <w:t xml:space="preserve"> Eur, </w:t>
            </w:r>
            <w:r>
              <w:rPr>
                <w:rFonts w:ascii="Arial" w:hAnsi="Arial"/>
                <w:color w:val="4472C4"/>
                <w:sz w:val="22"/>
                <w:szCs w:val="22"/>
              </w:rPr>
              <w:t>(nurodyti sumą žodžiais)</w:t>
            </w:r>
            <w:r>
              <w:rPr>
                <w:rFonts w:ascii="Arial" w:hAnsi="Arial"/>
                <w:sz w:val="22"/>
                <w:szCs w:val="22"/>
              </w:rPr>
              <w:t xml:space="preserve"> Eur su PVM.</w:t>
            </w:r>
          </w:p>
          <w:p>
            <w:pPr>
              <w:pStyle w:val="Normal"/>
              <w:jc w:val="both"/>
              <w:rPr>
                <w:rFonts w:ascii="Arial" w:hAnsi="Arial"/>
                <w:sz w:val="22"/>
                <w:szCs w:val="22"/>
              </w:rPr>
            </w:pPr>
            <w:r>
              <w:rPr>
                <w:rFonts w:ascii="Arial" w:hAnsi="Arial"/>
                <w:sz w:val="22"/>
                <w:szCs w:val="22"/>
              </w:rPr>
            </w:r>
          </w:p>
          <w:p>
            <w:pPr>
              <w:pStyle w:val="Normal"/>
              <w:jc w:val="both"/>
              <w:rPr>
                <w:rFonts w:ascii="Arial" w:hAnsi="Arial"/>
                <w:sz w:val="22"/>
                <w:szCs w:val="22"/>
              </w:rPr>
            </w:pPr>
            <w:r>
              <w:rPr>
                <w:rFonts w:ascii="Arial" w:hAnsi="Arial"/>
                <w:sz w:val="22"/>
                <w:szCs w:val="22"/>
              </w:rPr>
              <w:t>3 p.o.d. 495 000,00 Eur, (keturi šimtai devyniasdešimt penki tūkstančiai eurų, 00 centų) be PVM.</w:t>
            </w:r>
          </w:p>
          <w:p>
            <w:pPr>
              <w:pStyle w:val="Normal"/>
              <w:jc w:val="both"/>
              <w:rPr>
                <w:rFonts w:ascii="Arial" w:hAnsi="Arial"/>
                <w:sz w:val="22"/>
                <w:szCs w:val="22"/>
              </w:rPr>
            </w:pPr>
            <w:r>
              <w:rPr>
                <w:rFonts w:ascii="Arial" w:hAnsi="Arial"/>
                <w:sz w:val="22"/>
                <w:szCs w:val="22"/>
              </w:rPr>
              <w:t>PVM sudaro (</w:t>
            </w:r>
            <w:r>
              <w:rPr>
                <w:rFonts w:ascii="Arial" w:hAnsi="Arial"/>
                <w:color w:themeColor="accent5" w:val="4472C4"/>
                <w:sz w:val="22"/>
                <w:szCs w:val="22"/>
              </w:rPr>
              <w:t>nurodyti sumą skaičiais</w:t>
            </w:r>
            <w:r>
              <w:rPr>
                <w:rFonts w:ascii="Arial" w:hAnsi="Arial"/>
                <w:sz w:val="22"/>
                <w:szCs w:val="22"/>
              </w:rPr>
              <w:t>) Eur, (</w:t>
            </w:r>
            <w:r>
              <w:rPr>
                <w:rFonts w:ascii="Arial" w:hAnsi="Arial"/>
                <w:color w:themeColor="accent5" w:val="4472C4"/>
                <w:sz w:val="22"/>
                <w:szCs w:val="22"/>
              </w:rPr>
              <w:t>nurodyti sumą žodžiais</w:t>
            </w:r>
            <w:r>
              <w:rPr>
                <w:rFonts w:ascii="Arial" w:hAnsi="Arial"/>
                <w:sz w:val="22"/>
                <w:szCs w:val="22"/>
              </w:rPr>
              <w:t>).</w:t>
            </w:r>
          </w:p>
          <w:p>
            <w:pPr>
              <w:pStyle w:val="Normal"/>
              <w:jc w:val="both"/>
              <w:rPr>
                <w:rFonts w:ascii="Arial" w:hAnsi="Arial"/>
                <w:sz w:val="22"/>
                <w:szCs w:val="22"/>
              </w:rPr>
            </w:pPr>
            <w:r>
              <w:rPr>
                <w:rFonts w:ascii="Arial" w:hAnsi="Arial"/>
                <w:sz w:val="22"/>
                <w:szCs w:val="22"/>
              </w:rPr>
              <w:t>Sutarties kaina yra (</w:t>
            </w:r>
            <w:r>
              <w:rPr>
                <w:rFonts w:ascii="Arial" w:hAnsi="Arial"/>
                <w:color w:themeColor="accent5" w:val="4472C4"/>
                <w:sz w:val="22"/>
                <w:szCs w:val="22"/>
              </w:rPr>
              <w:t>nurodyti sumą skaičiais</w:t>
            </w:r>
            <w:r>
              <w:rPr>
                <w:rFonts w:ascii="Arial" w:hAnsi="Arial"/>
                <w:sz w:val="22"/>
                <w:szCs w:val="22"/>
              </w:rPr>
              <w:t>) Eur, (</w:t>
            </w:r>
            <w:r>
              <w:rPr>
                <w:rFonts w:ascii="Arial" w:hAnsi="Arial"/>
                <w:color w:themeColor="accent5" w:val="4472C4"/>
                <w:sz w:val="22"/>
                <w:szCs w:val="22"/>
              </w:rPr>
              <w:t>nurodyti sumą žodžiais</w:t>
            </w:r>
            <w:r>
              <w:rPr>
                <w:rFonts w:ascii="Arial" w:hAnsi="Arial"/>
                <w:sz w:val="22"/>
                <w:szCs w:val="22"/>
              </w:rPr>
              <w:t>) Eur su PVM.</w:t>
            </w:r>
          </w:p>
          <w:p>
            <w:pPr>
              <w:pStyle w:val="Normal"/>
              <w:jc w:val="both"/>
              <w:rPr>
                <w:rFonts w:ascii="Arial" w:hAnsi="Arial"/>
                <w:kern w:val="2"/>
                <w:sz w:val="22"/>
                <w:szCs w:val="22"/>
                <w:shd w:fill="C2D69B" w:val="clear"/>
              </w:rPr>
            </w:pPr>
            <w:r>
              <w:rPr>
                <w:rFonts w:ascii="Arial" w:hAnsi="Arial"/>
                <w:kern w:val="2"/>
                <w:sz w:val="22"/>
                <w:szCs w:val="22"/>
                <w:shd w:fill="C2D69B" w:val="clear"/>
              </w:rPr>
            </w:r>
          </w:p>
          <w:p>
            <w:pPr>
              <w:pStyle w:val="Normal"/>
              <w:jc w:val="both"/>
              <w:rPr/>
            </w:pPr>
            <w:r>
              <w:rPr>
                <w:rFonts w:ascii="Arial" w:hAnsi="Arial"/>
                <w:color w:val="000000"/>
                <w:kern w:val="2"/>
                <w:sz w:val="22"/>
                <w:szCs w:val="22"/>
              </w:rPr>
              <w:t>Šioje Sutartyje Pradinės Sutarties vertė yra lygi </w:t>
            </w:r>
            <w:r>
              <w:rPr>
                <w:rFonts w:ascii="Arial" w:hAnsi="Arial"/>
                <w:b/>
                <w:bCs/>
                <w:color w:val="000000"/>
                <w:kern w:val="2"/>
                <w:sz w:val="22"/>
                <w:szCs w:val="22"/>
              </w:rPr>
              <w:t>maksimaliai pirkimui skirtai lėšų sumai be PVM</w:t>
            </w:r>
            <w:r>
              <w:rPr>
                <w:rFonts w:ascii="Arial" w:hAnsi="Arial"/>
                <w:color w:val="000000"/>
                <w:kern w:val="2"/>
                <w:sz w:val="22"/>
                <w:szCs w:val="22"/>
              </w:rPr>
              <w:t> pirkimo dokumentuose ir Sutartyje nurodytų Prekių įsigijimui Tiekėjo pasiūlyme nurodytais įkainiais be PVM.</w:t>
            </w:r>
            <w:r>
              <w:rPr>
                <w:rFonts w:ascii="Arial" w:hAnsi="Arial"/>
                <w:kern w:val="2"/>
                <w:sz w:val="22"/>
                <w:szCs w:val="22"/>
              </w:rPr>
              <w:t xml:space="preserve"> </w:t>
            </w:r>
            <w:r>
              <w:rPr>
                <w:rFonts w:ascii="Arial" w:hAnsi="Arial"/>
                <w:color w:val="000000"/>
                <w:kern w:val="2"/>
                <w:sz w:val="22"/>
                <w:szCs w:val="22"/>
              </w:rPr>
              <w:t>Pirkėjas perka Prekes pagal poreikį Sutartyje arba jos priede Nr.</w:t>
            </w:r>
            <w:r>
              <w:rPr>
                <w:rFonts w:ascii="Arial" w:hAnsi="Arial"/>
                <w:kern w:val="2"/>
                <w:sz w:val="22"/>
                <w:szCs w:val="22"/>
              </w:rPr>
              <w:t xml:space="preserve"> 2 ,,Pasiūlymas“ </w:t>
            </w:r>
            <w:r>
              <w:rPr>
                <w:rFonts w:ascii="Arial" w:hAnsi="Arial"/>
                <w:color w:val="000000"/>
                <w:kern w:val="2"/>
                <w:sz w:val="22"/>
                <w:szCs w:val="22"/>
              </w:rPr>
              <w:t>nurodytais įkainiais, neviršijant Sutarties kainos. Techninėje specifikacijoje nurodytas Prekių kiekis gali būti keičiamas (didėti ar mažėti).</w:t>
            </w:r>
          </w:p>
          <w:p>
            <w:pPr>
              <w:pStyle w:val="Normal"/>
              <w:jc w:val="both"/>
              <w:rPr/>
            </w:pPr>
            <w:r>
              <w:rPr>
                <w:rFonts w:ascii="Arial" w:hAnsi="Arial"/>
                <w:color w:val="000000"/>
                <w:kern w:val="2"/>
                <w:sz w:val="22"/>
                <w:szCs w:val="22"/>
              </w:rPr>
              <w:t>Pirkėjas neįsipareigoja išpirkti Prekių preliminaraus kiekio ar bet kokios jo dalies (jeigu Sutartyje yra nurodyti Prekių preliminarūs kiekiai), nepaisant to, Prekių preliminarūs kiekiai nėra laikomi maksimaliais kiekiais.</w:t>
            </w:r>
          </w:p>
          <w:p>
            <w:pPr>
              <w:pStyle w:val="Normal"/>
              <w:jc w:val="both"/>
              <w:rPr/>
            </w:pPr>
            <w:r>
              <w:rPr>
                <w:rFonts w:ascii="Arial" w:hAnsi="Arial"/>
                <w:color w:val="000000"/>
                <w:kern w:val="2"/>
                <w:sz w:val="22"/>
                <w:szCs w:val="22"/>
              </w:rPr>
              <w:t>P</w:t>
            </w:r>
            <w:r>
              <w:rPr>
                <w:rFonts w:ascii="Arial" w:hAnsi="Arial"/>
                <w:color w:val="000000"/>
                <w:kern w:val="2"/>
                <w:sz w:val="22"/>
                <w:szCs w:val="22"/>
                <w:lang w:val="en-GB"/>
              </w:rPr>
              <w:t>irk</w:t>
            </w:r>
            <w:r>
              <w:rPr>
                <w:rFonts w:ascii="Arial" w:hAnsi="Arial"/>
                <w:color w:val="000000"/>
                <w:kern w:val="2"/>
                <w:sz w:val="22"/>
                <w:szCs w:val="22"/>
              </w:rPr>
              <w:t>ė</w:t>
            </w:r>
            <w:r>
              <w:rPr>
                <w:rFonts w:ascii="Arial" w:hAnsi="Arial"/>
                <w:color w:val="000000"/>
                <w:kern w:val="2"/>
                <w:sz w:val="22"/>
                <w:szCs w:val="22"/>
                <w:lang w:val="en-GB"/>
              </w:rPr>
              <w:t>jas</w:t>
            </w:r>
            <w:r>
              <w:rPr>
                <w:rFonts w:ascii="Arial" w:hAnsi="Arial"/>
                <w:color w:val="000000"/>
                <w:kern w:val="2"/>
                <w:sz w:val="22"/>
                <w:szCs w:val="22"/>
              </w:rPr>
              <w:t xml:space="preserve"> įsipareigoja išpirkti ne mažesnį kaip 40 (keturiasdešimt) procentų viso Techninės specifikacijos 1 lentelėje nurodytų prekių kiekio.</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 xml:space="preserve">5.3. Sutarties kainos / įkainių perskaičiavimas taikant </w:t>
            </w:r>
            <w:r>
              <w:rPr>
                <w:rFonts w:ascii="Arial" w:hAnsi="Arial"/>
                <w:b/>
                <w:bCs/>
                <w:kern w:val="2"/>
                <w:sz w:val="22"/>
                <w:szCs w:val="22"/>
                <w:u w:val="single"/>
              </w:rPr>
              <w:t>peržiūros</w:t>
            </w:r>
            <w:r>
              <w:rPr>
                <w:rFonts w:ascii="Arial" w:hAnsi="Arial"/>
                <w:b/>
                <w:bCs/>
                <w:kern w:val="2"/>
                <w:sz w:val="22"/>
                <w:szCs w:val="22"/>
              </w:rPr>
              <w:t xml:space="preserve"> taisykles</w:t>
            </w:r>
          </w:p>
          <w:p>
            <w:pPr>
              <w:pStyle w:val="Normal"/>
              <w:rPr>
                <w:rFonts w:ascii="Arial" w:hAnsi="Arial"/>
                <w:b/>
                <w:bCs/>
                <w:kern w:val="2"/>
                <w:sz w:val="22"/>
                <w:szCs w:val="22"/>
              </w:rPr>
            </w:pPr>
            <w:r>
              <w:rPr>
                <w:rFonts w:ascii="Arial" w:hAnsi="Arial"/>
                <w:b/>
                <w:bCs/>
                <w:kern w:val="2"/>
                <w:sz w:val="22"/>
                <w:szCs w:val="22"/>
              </w:rPr>
            </w:r>
          </w:p>
          <w:p>
            <w:pPr>
              <w:pStyle w:val="Normal"/>
              <w:rPr>
                <w:rFonts w:ascii="Arial" w:hAnsi="Arial"/>
                <w:kern w:val="2"/>
                <w:sz w:val="22"/>
                <w:szCs w:val="22"/>
              </w:rPr>
            </w:pPr>
            <w:r>
              <w:rPr>
                <w:rFonts w:ascii="Arial" w:hAnsi="Arial"/>
                <w:kern w:val="2"/>
                <w:sz w:val="22"/>
                <w:szCs w:val="22"/>
              </w:rPr>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Sutar</w:t>
            </w:r>
            <w:r>
              <w:rPr>
                <w:rFonts w:ascii="Arial" w:hAnsi="Arial"/>
                <w:color w:val="000000"/>
                <w:kern w:val="2"/>
                <w:sz w:val="22"/>
                <w:szCs w:val="22"/>
              </w:rPr>
              <w:t>ties įkainiai bus perskaičiuojami:</w:t>
            </w:r>
          </w:p>
          <w:p>
            <w:pPr>
              <w:pStyle w:val="Normal"/>
              <w:jc w:val="both"/>
              <w:rPr>
                <w:rFonts w:ascii="Arial" w:hAnsi="Arial"/>
                <w:sz w:val="22"/>
                <w:szCs w:val="22"/>
              </w:rPr>
            </w:pPr>
            <w:r>
              <w:rPr>
                <w:rFonts w:cs="Arial" w:ascii="Arial" w:hAnsi="Arial"/>
                <w:color w:val="000000"/>
                <w:kern w:val="2"/>
                <w:sz w:val="22"/>
                <w:szCs w:val="22"/>
              </w:rPr>
              <w:t>5.3.1. dėl PVM tarifo pasikeitimo;</w:t>
            </w:r>
          </w:p>
          <w:p>
            <w:pPr>
              <w:pStyle w:val="Normal"/>
              <w:jc w:val="both"/>
              <w:rPr>
                <w:rFonts w:ascii="Arial" w:hAnsi="Arial"/>
                <w:sz w:val="22"/>
                <w:szCs w:val="22"/>
              </w:rPr>
            </w:pPr>
            <w:r>
              <w:rPr>
                <w:rFonts w:cs="Arial" w:ascii="Arial" w:hAnsi="Arial"/>
                <w:color w:val="000000"/>
                <w:kern w:val="2"/>
                <w:sz w:val="22"/>
                <w:szCs w:val="22"/>
              </w:rPr>
              <w:t>5.3.3. dėl kainų lygio pokyčio.</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5.3.1. Sutarties kainos / įkainių peržiūra dėl PVM tarifo pasikeitimo</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Jeigu Sutarties vykdymo metu pasikeičia PVM mokėjimą r</w:t>
            </w:r>
            <w:r>
              <w:rPr>
                <w:rFonts w:ascii="Arial" w:hAnsi="Arial"/>
                <w:color w:val="000000"/>
                <w:kern w:val="2"/>
                <w:sz w:val="22"/>
                <w:szCs w:val="22"/>
              </w:rPr>
              <w:t>eglamentuojantys teisės aktai, darantys tiesioginę įtaką Tiekėjo tiekiamų Prekių Sutartyje nurodytai įkainiams, Sutarties kaina / įkainiai perskaičiuojami nekeičiant Prekių įkainio be PVM.</w:t>
            </w:r>
          </w:p>
          <w:p>
            <w:pPr>
              <w:pStyle w:val="Normal"/>
              <w:jc w:val="both"/>
              <w:rPr>
                <w:rFonts w:ascii="Arial" w:hAnsi="Arial"/>
                <w:color w:val="000000"/>
                <w:kern w:val="2"/>
                <w:sz w:val="22"/>
                <w:szCs w:val="22"/>
              </w:rPr>
            </w:pPr>
            <w:r>
              <w:rPr>
                <w:rFonts w:ascii="Arial" w:hAnsi="Arial"/>
                <w:color w:val="000000"/>
                <w:kern w:val="2"/>
                <w:sz w:val="22"/>
                <w:szCs w:val="22"/>
              </w:rPr>
            </w:r>
          </w:p>
          <w:p>
            <w:pPr>
              <w:pStyle w:val="Normal"/>
              <w:jc w:val="both"/>
              <w:rPr>
                <w:rFonts w:ascii="Arial" w:hAnsi="Arial"/>
                <w:sz w:val="22"/>
                <w:szCs w:val="22"/>
              </w:rPr>
            </w:pPr>
            <w:r>
              <w:rPr>
                <w:rFonts w:ascii="Arial" w:hAnsi="Arial"/>
                <w:color w:val="000000"/>
                <w:kern w:val="2"/>
                <w:sz w:val="22"/>
                <w:szCs w:val="22"/>
              </w:rPr>
              <w:t xml:space="preserve">Perskaičiavimas įforminamas Susitarimu ne vėliau kaip per </w:t>
            </w:r>
            <w:r>
              <w:rPr>
                <w:rFonts w:cs="Arial" w:ascii="Arial" w:hAnsi="Arial"/>
                <w:color w:val="000000"/>
                <w:kern w:val="2"/>
                <w:sz w:val="22"/>
                <w:szCs w:val="22"/>
              </w:rPr>
              <w:t>10 (dešimt) darbo dienų</w:t>
            </w:r>
            <w:r>
              <w:rPr>
                <w:rFonts w:ascii="Arial" w:hAnsi="Arial"/>
                <w:color w:val="000000"/>
                <w:kern w:val="2"/>
                <w:sz w:val="22"/>
                <w:szCs w:val="22"/>
              </w:rPr>
              <w:t xml:space="preserve"> nuo PVM mokėjimą reglamentuojančių teisės aktų pasikeitimo, kuris tampa neatskiriama Sutarties dalimi. Perskaičiuota (-as) Sutarties kaina</w:t>
            </w:r>
            <w:r>
              <w:rPr>
                <w:rFonts w:ascii="Arial" w:hAnsi="Arial"/>
                <w:color w:val="000000"/>
                <w:sz w:val="22"/>
                <w:szCs w:val="22"/>
              </w:rPr>
              <w:t xml:space="preserve"> </w:t>
            </w:r>
            <w:r>
              <w:rPr>
                <w:rFonts w:ascii="Arial" w:hAnsi="Arial"/>
                <w:color w:val="000000"/>
                <w:kern w:val="2"/>
                <w:sz w:val="22"/>
                <w:szCs w:val="22"/>
              </w:rPr>
              <w:t>/</w:t>
            </w:r>
            <w:r>
              <w:rPr>
                <w:rFonts w:ascii="Arial" w:hAnsi="Arial"/>
                <w:color w:val="000000"/>
                <w:sz w:val="22"/>
                <w:szCs w:val="22"/>
              </w:rPr>
              <w:t xml:space="preserve"> </w:t>
            </w:r>
            <w:r>
              <w:rPr>
                <w:rFonts w:ascii="Arial" w:hAnsi="Arial"/>
                <w:color w:val="000000"/>
                <w:kern w:val="2"/>
                <w:sz w:val="22"/>
                <w:szCs w:val="22"/>
              </w:rPr>
              <w:t>įkainis taikoma (-as) už tą Prekių dalį, kurios kurios bus teikiamos nuo Šalių pasirašytame Susitarime nurodytos dienos.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5.3.2.</w:t>
            </w:r>
            <w:r>
              <w:rPr>
                <w:rFonts w:ascii="Arial" w:hAnsi="Arial"/>
                <w:kern w:val="2"/>
                <w:sz w:val="22"/>
                <w:szCs w:val="22"/>
              </w:rPr>
              <w:t> </w:t>
            </w:r>
            <w:r>
              <w:rPr>
                <w:rFonts w:ascii="Arial" w:hAnsi="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Netaikoma</w:t>
            </w:r>
          </w:p>
          <w:p>
            <w:pPr>
              <w:pStyle w:val="Normal"/>
              <w:jc w:val="both"/>
              <w:rPr>
                <w:rFonts w:ascii="Arial" w:hAnsi="Arial"/>
                <w:kern w:val="2"/>
                <w:sz w:val="22"/>
                <w:szCs w:val="22"/>
              </w:rPr>
            </w:pPr>
            <w:r>
              <w:rPr>
                <w:rFonts w:ascii="Arial" w:hAnsi="Arial"/>
                <w:kern w:val="2"/>
                <w:sz w:val="22"/>
                <w:szCs w:val="22"/>
              </w:rPr>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5.3.3. Sutarties kainos / įkainių peržiūra dėl kainų lygio pokyčio</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color w:val="000000"/>
                <w:sz w:val="22"/>
                <w:szCs w:val="22"/>
              </w:rPr>
            </w:pPr>
            <w:r>
              <w:rPr>
                <w:rFonts w:ascii="Arial" w:hAnsi="Arial"/>
                <w:color w:val="000000"/>
                <w:kern w:val="2"/>
                <w:sz w:val="22"/>
                <w:szCs w:val="22"/>
              </w:rPr>
              <w:t xml:space="preserve">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w:t>
            </w:r>
            <w:r>
              <w:rPr>
                <w:rFonts w:ascii="Arial" w:hAnsi="Arial"/>
                <w:color w:val="000000"/>
                <w:sz w:val="22"/>
                <w:szCs w:val="22"/>
              </w:rPr>
              <w:t>jeigu Vartojimo prekių ir paslaugų kainų pokytis (k), apskaičiuotas kaip nustatyta 5.3.3.6 papunktyje, viršija 10 procentų arba yra mažesnis nei -10 procentų</w:t>
            </w:r>
            <w:r>
              <w:rPr>
                <w:rFonts w:ascii="Arial" w:hAnsi="Arial"/>
                <w:color w:val="000000"/>
                <w:kern w:val="2"/>
                <w:sz w:val="22"/>
                <w:szCs w:val="22"/>
              </w:rPr>
              <w:t>.  Sutarties įkainių peržiūra atliekama ne rečiau kaip kas 6 (šeši) mėnesiai.</w:t>
            </w:r>
          </w:p>
          <w:p>
            <w:pPr>
              <w:pStyle w:val="Normal"/>
              <w:jc w:val="both"/>
              <w:rPr>
                <w:rFonts w:ascii="Arial" w:hAnsi="Arial"/>
                <w:color w:val="000000"/>
                <w:sz w:val="22"/>
                <w:szCs w:val="22"/>
              </w:rPr>
            </w:pPr>
            <w:r>
              <w:rPr>
                <w:rFonts w:ascii="Arial" w:hAnsi="Arial"/>
                <w:color w:val="000000"/>
                <w:kern w:val="2"/>
                <w:sz w:val="22"/>
                <w:szCs w:val="22"/>
              </w:rPr>
              <w:t xml:space="preserve">5.3.3.2. Sutarties </w:t>
            </w:r>
            <w:r>
              <w:rPr>
                <w:rFonts w:ascii="Arial" w:hAnsi="Arial"/>
                <w:color w:val="000000"/>
                <w:kern w:val="2"/>
                <w:sz w:val="22"/>
                <w:szCs w:val="22"/>
                <w:shd w:fill="FFFFFF" w:val="clear"/>
              </w:rPr>
              <w:t>įkainiai peržiūrimi tik tai Sutarties daliai, kuri nėra išpirkta, t. y., Prekėms, kurios nėra priimtos ir apmokėtos. Vėlesnė Sutarties įkainių peržiūra negali apimti laikotarpio, už kurį jau buvo atliktas peržiūra.</w:t>
            </w:r>
          </w:p>
          <w:p>
            <w:pPr>
              <w:pStyle w:val="Normal"/>
              <w:jc w:val="both"/>
              <w:rPr>
                <w:rFonts w:ascii="Arial" w:hAnsi="Arial"/>
                <w:color w:val="000000"/>
                <w:sz w:val="22"/>
                <w:szCs w:val="22"/>
              </w:rPr>
            </w:pPr>
            <w:r>
              <w:rPr>
                <w:rFonts w:ascii="Arial" w:hAnsi="Arial"/>
                <w:color w:val="000000"/>
                <w:kern w:val="2"/>
                <w:sz w:val="22"/>
                <w:szCs w:val="22"/>
              </w:rPr>
              <w:t>5.3.3.3. </w:t>
            </w:r>
            <w:r>
              <w:rPr>
                <w:rFonts w:ascii="Arial" w:hAnsi="Arial"/>
                <w:color w:val="000000"/>
                <w:kern w:val="2"/>
                <w:sz w:val="22"/>
                <w:szCs w:val="22"/>
                <w:shd w:fill="FFFFFF" w:val="clear"/>
              </w:rPr>
              <w:t>Jeigu Prekių tiekimas vėluoja dėl Tiekėjo kaltės, uždelstų pristatyti Prekių įkainiai nėra perskaičiuojami dėl kainų lygio kilimo (gali būti mažinami, tačiau negali būti didinami).</w:t>
            </w:r>
          </w:p>
          <w:p>
            <w:pPr>
              <w:pStyle w:val="Normal"/>
              <w:jc w:val="both"/>
              <w:rPr>
                <w:rFonts w:ascii="Arial" w:hAnsi="Arial"/>
                <w:color w:val="000000"/>
                <w:sz w:val="22"/>
                <w:szCs w:val="22"/>
              </w:rPr>
            </w:pPr>
            <w:r>
              <w:rPr>
                <w:rFonts w:ascii="Arial" w:hAnsi="Arial"/>
                <w:color w:val="000000"/>
                <w:kern w:val="2"/>
                <w:sz w:val="22"/>
                <w:szCs w:val="22"/>
              </w:rPr>
              <w:t xml:space="preserve">5.3.3.4. Atlikdamos Sutarties įkainių peržiūrą </w:t>
            </w:r>
            <w:r>
              <w:rPr>
                <w:rFonts w:ascii="Arial" w:hAnsi="Arial"/>
                <w:color w:val="000000"/>
                <w:kern w:val="2"/>
                <w:sz w:val="22"/>
                <w:szCs w:val="22"/>
                <w:shd w:fill="FFFFFF" w:val="clear"/>
              </w:rPr>
              <w:t>Šalys vadovaujasi Valstybės duomenų agentūros viešai Oficialiosios statistikos portale paskelbtais Rodiklių duomenų bazės duomenimis arba kitų oficialių šaltinių duomenimis (http://www.osp.stat.gov.lt). Iš kitos Šalies nereikalaujama pateikti oficialaus Valstybės duomenų agentūros ar kitos institucijos išduoto dokumento ar patvirtinimo.</w:t>
            </w:r>
          </w:p>
          <w:p>
            <w:pPr>
              <w:pStyle w:val="Normal"/>
              <w:jc w:val="both"/>
              <w:rPr>
                <w:rFonts w:ascii="Arial" w:hAnsi="Arial"/>
                <w:color w:val="000000"/>
                <w:sz w:val="22"/>
                <w:szCs w:val="22"/>
              </w:rPr>
            </w:pPr>
            <w:r>
              <w:rPr>
                <w:rFonts w:ascii="Arial" w:hAnsi="Arial"/>
                <w:color w:val="000000"/>
                <w:kern w:val="2"/>
                <w:sz w:val="22"/>
                <w:szCs w:val="22"/>
                <w:shd w:fill="FFFFFF" w:val="clear"/>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pPr>
              <w:pStyle w:val="Normal"/>
              <w:jc w:val="both"/>
              <w:rPr>
                <w:rFonts w:ascii="Arial" w:hAnsi="Arial"/>
                <w:color w:val="000000"/>
                <w:sz w:val="22"/>
                <w:szCs w:val="22"/>
              </w:rPr>
            </w:pPr>
            <w:r>
              <w:rPr>
                <w:rFonts w:ascii="Arial" w:hAnsi="Arial"/>
                <w:color w:val="000000"/>
                <w:kern w:val="2"/>
                <w:sz w:val="22"/>
                <w:szCs w:val="22"/>
                <w:shd w:fill="FFFFFF" w:val="clear"/>
              </w:rPr>
              <w:t>5.3.3.6. Nauja Sutarties  įkainiai apskaičiuojami pagal žemiau pateiktą formulę:</w:t>
            </w:r>
          </w:p>
          <w:p>
            <w:pPr>
              <w:pStyle w:val="Normal"/>
              <w:jc w:val="both"/>
              <w:textAlignment w:val="baseline"/>
              <w:rPr>
                <w:rFonts w:ascii="Arial" w:hAnsi="Arial"/>
                <w:color w:val="000000"/>
                <w:sz w:val="22"/>
                <w:szCs w:val="22"/>
              </w:rPr>
            </w:pPr>
            <w:r>
              <w:rPr/>
            </w:r>
            <m:oMath xmlns:m="http://schemas.openxmlformats.org/officeDocument/2006/math">
              <m:sSub>
                <m:e>
                  <m:r>
                    <m:t xml:space="preserve">a</m:t>
                  </m:r>
                </m:e>
                <m:sub>
                  <m:r>
                    <m:t xml:space="preserve">1</m:t>
                  </m:r>
                </m:sub>
              </m:sSub>
              <m:r>
                <m:t xml:space="preserve">=</m:t>
              </m:r>
              <m:r>
                <m:t xml:space="preserve">a</m:t>
              </m:r>
              <m:r>
                <m:t xml:space="preserve">+</m:t>
              </m:r>
              <m:d>
                <m:dPr>
                  <m:begChr m:val="("/>
                  <m:endChr m:val=")"/>
                </m:dPr>
                <m:e>
                  <m:f>
                    <m:num>
                      <m:r>
                        <m:t xml:space="preserve">k</m:t>
                      </m:r>
                    </m:num>
                    <m:den>
                      <m:r>
                        <m:t xml:space="preserve">100</m:t>
                      </m:r>
                    </m:den>
                  </m:f>
                  <m:r>
                    <m:t xml:space="preserve">×</m:t>
                  </m:r>
                  <m:r>
                    <m:t xml:space="preserve">a</m:t>
                  </m:r>
                </m:e>
              </m:d>
            </m:oMath>
            <w:r>
              <w:rPr>
                <w:rFonts w:ascii="Arial" w:hAnsi="Arial"/>
                <w:color w:val="000000"/>
                <w:kern w:val="2"/>
                <w:sz w:val="22"/>
                <w:szCs w:val="22"/>
              </w:rPr>
              <w:t>, kur a – įkainis (Eur be PVM)) (jei peržiūra jau buvo atlikta, tai po paskutinio perskaičiavimo)</w:t>
            </w:r>
          </w:p>
          <w:p>
            <w:pPr>
              <w:pStyle w:val="Normal"/>
              <w:jc w:val="both"/>
              <w:textAlignment w:val="baseline"/>
              <w:rPr>
                <w:rFonts w:ascii="Arial" w:hAnsi="Arial"/>
                <w:color w:val="000000"/>
                <w:sz w:val="22"/>
                <w:szCs w:val="22"/>
              </w:rPr>
            </w:pPr>
            <w:r>
              <w:rPr>
                <w:rFonts w:ascii="Arial" w:hAnsi="Arial"/>
                <w:color w:val="000000"/>
                <w:kern w:val="2"/>
                <w:sz w:val="22"/>
                <w:szCs w:val="22"/>
              </w:rPr>
              <w:t>a</w:t>
            </w:r>
            <w:r>
              <w:rPr>
                <w:rFonts w:ascii="Arial" w:hAnsi="Arial"/>
                <w:color w:val="000000"/>
                <w:kern w:val="2"/>
                <w:sz w:val="22"/>
                <w:szCs w:val="22"/>
                <w:vertAlign w:val="subscript"/>
              </w:rPr>
              <w:t>1</w:t>
            </w:r>
            <w:r>
              <w:rPr>
                <w:rFonts w:ascii="Arial" w:hAnsi="Arial"/>
                <w:color w:val="000000"/>
                <w:kern w:val="2"/>
                <w:sz w:val="22"/>
                <w:szCs w:val="22"/>
              </w:rPr>
              <w:t xml:space="preserve"> – perskaičiuota (pakeista) įkainis (Eur be PVM)</w:t>
            </w:r>
          </w:p>
          <w:p>
            <w:pPr>
              <w:pStyle w:val="Normal"/>
              <w:jc w:val="both"/>
              <w:textAlignment w:val="baseline"/>
              <w:rPr>
                <w:rFonts w:ascii="Arial" w:hAnsi="Arial"/>
                <w:color w:val="000000"/>
                <w:sz w:val="22"/>
                <w:szCs w:val="22"/>
              </w:rPr>
            </w:pPr>
            <w:r>
              <w:rPr>
                <w:rFonts w:ascii="Arial" w:hAnsi="Arial"/>
                <w:color w:val="000000"/>
                <w:kern w:val="2"/>
                <w:sz w:val="22"/>
                <w:szCs w:val="22"/>
              </w:rPr>
              <w:t>k – pagal vartotojų kainų indeksą (0312 drabužiai) apskaičiuotas Vartojimo prekių ir paslaugų kainų pokytis (padidėjimas arba sumažėjimas) (%). „k“ reikšmė skaičiuojama pagal formulę:</w:t>
            </w:r>
          </w:p>
          <w:p>
            <w:pPr>
              <w:pStyle w:val="Normal"/>
              <w:jc w:val="both"/>
              <w:textAlignment w:val="baseline"/>
              <w:rPr>
                <w:rFonts w:ascii="Arial" w:hAnsi="Arial"/>
                <w:color w:val="000000"/>
                <w:sz w:val="22"/>
                <w:szCs w:val="22"/>
              </w:rPr>
            </w:pPr>
            <w:r>
              <w:rPr/>
            </w:r>
            <m:oMath xmlns:m="http://schemas.openxmlformats.org/officeDocument/2006/math">
              <m:r>
                <m:t xml:space="preserve">k</m:t>
              </m:r>
              <m:r>
                <m:t xml:space="preserve">=</m:t>
              </m:r>
              <m:f>
                <m:num>
                  <m:sSub>
                    <m:e>
                      <m:r>
                        <m:t xml:space="preserve">Ind</m:t>
                      </m:r>
                    </m:e>
                    <m:sub>
                      <m:r>
                        <m:t xml:space="preserve">naujausias</m:t>
                      </m:r>
                    </m:sub>
                  </m:sSub>
                </m:num>
                <m:den>
                  <m:sSub>
                    <m:e>
                      <m:r>
                        <m:t xml:space="preserve">Ind</m:t>
                      </m:r>
                    </m:e>
                    <m:sub>
                      <m:r>
                        <m:t xml:space="preserve">pradžia</m:t>
                      </m:r>
                    </m:sub>
                  </m:sSub>
                </m:den>
              </m:f>
              <m:r>
                <m:t xml:space="preserve">×</m:t>
              </m:r>
              <m:r>
                <m:t xml:space="preserve">100</m:t>
              </m:r>
              <m:r>
                <m:t xml:space="preserve">−</m:t>
              </m:r>
              <m:r>
                <m:t xml:space="preserve">100</m:t>
              </m:r>
            </m:oMath>
            <w:r>
              <w:rPr>
                <w:rFonts w:ascii="Arial" w:hAnsi="Arial"/>
                <w:color w:val="000000"/>
                <w:kern w:val="2"/>
                <w:sz w:val="22"/>
                <w:szCs w:val="22"/>
              </w:rPr>
              <w:t>, (proc.) kur</w:t>
            </w:r>
          </w:p>
          <w:p>
            <w:pPr>
              <w:pStyle w:val="Normal"/>
              <w:jc w:val="both"/>
              <w:textAlignment w:val="baseline"/>
              <w:rPr>
                <w:rFonts w:ascii="Arial" w:hAnsi="Arial"/>
                <w:color w:val="000000"/>
                <w:sz w:val="22"/>
                <w:szCs w:val="22"/>
              </w:rPr>
            </w:pPr>
            <w:r>
              <w:rPr>
                <w:rFonts w:ascii="Arial" w:hAnsi="Arial"/>
                <w:color w:val="000000"/>
                <w:kern w:val="2"/>
                <w:sz w:val="22"/>
                <w:szCs w:val="22"/>
              </w:rPr>
              <w:t>Ind</w:t>
            </w:r>
            <w:r>
              <w:rPr>
                <w:rFonts w:ascii="Arial" w:hAnsi="Arial"/>
                <w:color w:val="000000"/>
                <w:kern w:val="2"/>
                <w:sz w:val="22"/>
                <w:szCs w:val="22"/>
                <w:vertAlign w:val="subscript"/>
              </w:rPr>
              <w:t>naujausias</w:t>
            </w:r>
            <w:r>
              <w:rPr>
                <w:rFonts w:ascii="Arial" w:hAnsi="Arial"/>
                <w:color w:val="000000"/>
                <w:kern w:val="2"/>
                <w:sz w:val="22"/>
                <w:szCs w:val="22"/>
              </w:rPr>
              <w:t xml:space="preserve"> – kreipimosi dėl įkainių peržiūros išsiuntimo kitai šaliai dieną paskelbtas naujausias vartojimo prekių ir paslaugų indeksas (0312 drabužiai).</w:t>
            </w:r>
          </w:p>
          <w:p>
            <w:pPr>
              <w:pStyle w:val="Normal"/>
              <w:jc w:val="both"/>
              <w:rPr>
                <w:rFonts w:ascii="Arial" w:hAnsi="Arial"/>
                <w:color w:val="000000"/>
                <w:sz w:val="22"/>
                <w:szCs w:val="22"/>
              </w:rPr>
            </w:pPr>
            <w:r>
              <w:rPr>
                <w:rFonts w:ascii="Arial" w:hAnsi="Arial"/>
                <w:color w:val="000000"/>
                <w:kern w:val="2"/>
                <w:sz w:val="22"/>
                <w:szCs w:val="22"/>
              </w:rPr>
              <w:t>Ind</w:t>
            </w:r>
            <w:r>
              <w:rPr>
                <w:rFonts w:ascii="Arial" w:hAnsi="Arial"/>
                <w:color w:val="000000"/>
                <w:kern w:val="2"/>
                <w:sz w:val="22"/>
                <w:szCs w:val="22"/>
                <w:vertAlign w:val="subscript"/>
              </w:rPr>
              <w:t>pradžia</w:t>
            </w:r>
            <w:r>
              <w:rPr>
                <w:rFonts w:ascii="Arial" w:hAnsi="Arial"/>
                <w:color w:val="000000"/>
                <w:kern w:val="2"/>
                <w:sz w:val="22"/>
                <w:szCs w:val="22"/>
              </w:rPr>
              <w:t xml:space="preserve"> – laikotarpio pradžios datos (mėnesio) vartojimo prekių ir paslaugų indeksas (0312 drabužiai). Pirmojo perskaičiavimo atveju laikotarpio pradžia (mėnuo) yra </w:t>
            </w:r>
            <w:r>
              <w:rPr>
                <w:rFonts w:ascii="Arial" w:hAnsi="Arial"/>
                <w:color w:val="000000"/>
                <w:sz w:val="22"/>
                <w:szCs w:val="22"/>
              </w:rPr>
              <w:t>paskutinės pirkimo, kurio pagrindu sudaryta Sutartis, pasiūlymų pateikimo termino dienos mėnuo.</w:t>
            </w:r>
            <w:r>
              <w:rPr>
                <w:rFonts w:ascii="Arial" w:hAnsi="Arial"/>
                <w:color w:val="000000"/>
                <w:kern w:val="2"/>
                <w:sz w:val="22"/>
                <w:szCs w:val="22"/>
              </w:rPr>
              <w:t xml:space="preserve"> Antrojo ir vėlesnių perskaičiavimų atveju laikotarpio pradžia (mėnuo) yra paskutinio perskaičiavimo metu naudotos paskelbto atitinkamo indekso reikšmės mėnuo.</w:t>
            </w:r>
          </w:p>
          <w:p>
            <w:pPr>
              <w:pStyle w:val="Normal"/>
              <w:jc w:val="both"/>
              <w:rPr>
                <w:rFonts w:ascii="Arial" w:hAnsi="Arial"/>
                <w:color w:val="000000"/>
                <w:sz w:val="22"/>
                <w:szCs w:val="22"/>
              </w:rPr>
            </w:pPr>
            <w:r>
              <w:rPr>
                <w:rFonts w:ascii="Arial" w:hAnsi="Arial"/>
                <w:color w:val="000000"/>
                <w:kern w:val="2"/>
                <w:sz w:val="22"/>
                <w:szCs w:val="22"/>
              </w:rPr>
              <w:t>5.3.3.7. </w:t>
            </w:r>
            <w:r>
              <w:rPr>
                <w:rFonts w:ascii="Arial" w:hAnsi="Arial"/>
                <w:color w:val="000000"/>
                <w:kern w:val="2"/>
                <w:sz w:val="22"/>
                <w:szCs w:val="22"/>
                <w:shd w:fill="FFFFFF" w:val="clear"/>
              </w:rPr>
              <w:t xml:space="preserve">Skaičiavimams indeksų reikšmės imamos </w:t>
            </w:r>
            <w:r>
              <w:rPr>
                <w:rFonts w:ascii="Arial" w:hAnsi="Arial"/>
                <w:b/>
                <w:bCs/>
                <w:color w:val="000000"/>
                <w:kern w:val="2"/>
                <w:sz w:val="22"/>
                <w:szCs w:val="22"/>
                <w:shd w:fill="FFFFFF" w:val="clear"/>
              </w:rPr>
              <w:t>keturių</w:t>
            </w:r>
            <w:r>
              <w:rPr>
                <w:rFonts w:ascii="Arial" w:hAnsi="Arial"/>
                <w:color w:val="000000"/>
                <w:kern w:val="2"/>
                <w:sz w:val="22"/>
                <w:szCs w:val="22"/>
                <w:shd w:fill="FFFFFF" w:val="clear"/>
              </w:rPr>
              <w:t xml:space="preserve"> skaitmenų po kablelio tikslumu. Apskaičiuotas pokytis (k) tolimesniems skaičiavimams naudojamas suapvalinus iki </w:t>
            </w:r>
            <w:r>
              <w:rPr>
                <w:rFonts w:ascii="Arial" w:hAnsi="Arial"/>
                <w:b/>
                <w:bCs/>
                <w:color w:val="000000"/>
                <w:kern w:val="2"/>
                <w:sz w:val="22"/>
                <w:szCs w:val="22"/>
                <w:shd w:fill="FFFFFF" w:val="clear"/>
              </w:rPr>
              <w:t>vieno</w:t>
            </w:r>
            <w:r>
              <w:rPr>
                <w:rFonts w:ascii="Arial" w:hAnsi="Arial"/>
                <w:color w:val="000000"/>
                <w:kern w:val="2"/>
                <w:sz w:val="22"/>
                <w:szCs w:val="22"/>
                <w:shd w:fill="FFFFFF" w:val="clear"/>
              </w:rPr>
              <w:t xml:space="preserve"> skaitmens po kablelio, o apskaičiuotas įkainis „a</w:t>
            </w:r>
            <w:r>
              <w:rPr>
                <w:rFonts w:ascii="Arial" w:hAnsi="Arial"/>
                <w:color w:val="000000"/>
                <w:kern w:val="2"/>
                <w:sz w:val="22"/>
                <w:szCs w:val="22"/>
                <w:shd w:fill="FFFFFF" w:val="clear"/>
                <w:vertAlign w:val="subscript"/>
              </w:rPr>
              <w:t>1</w:t>
            </w:r>
            <w:r>
              <w:rPr>
                <w:rFonts w:ascii="Arial" w:hAnsi="Arial"/>
                <w:color w:val="000000"/>
                <w:kern w:val="2"/>
                <w:sz w:val="22"/>
                <w:szCs w:val="22"/>
                <w:shd w:fill="FFFFFF" w:val="clear"/>
              </w:rPr>
              <w:t xml:space="preserve">“ suapvalinamas iki </w:t>
            </w:r>
            <w:r>
              <w:rPr>
                <w:rFonts w:ascii="Arial" w:hAnsi="Arial"/>
                <w:b/>
                <w:bCs/>
                <w:color w:val="000000"/>
                <w:kern w:val="2"/>
                <w:sz w:val="22"/>
                <w:szCs w:val="22"/>
                <w:shd w:fill="FFFFFF" w:val="clear"/>
              </w:rPr>
              <w:t xml:space="preserve">dviejų </w:t>
            </w:r>
            <w:r>
              <w:rPr>
                <w:rFonts w:ascii="Arial" w:hAnsi="Arial"/>
                <w:color w:val="000000"/>
                <w:kern w:val="2"/>
                <w:sz w:val="22"/>
                <w:szCs w:val="22"/>
                <w:shd w:fill="FFFFFF" w:val="clear"/>
              </w:rPr>
              <w:t>skaitmenų po kablelio.</w:t>
            </w:r>
          </w:p>
          <w:p>
            <w:pPr>
              <w:pStyle w:val="Normal"/>
              <w:jc w:val="both"/>
              <w:rPr>
                <w:rFonts w:ascii="Arial" w:hAnsi="Arial"/>
                <w:color w:val="000000"/>
                <w:sz w:val="22"/>
                <w:szCs w:val="22"/>
              </w:rPr>
            </w:pPr>
            <w:r>
              <w:rPr>
                <w:rFonts w:ascii="Arial" w:hAnsi="Arial"/>
                <w:color w:val="000000"/>
                <w:kern w:val="2"/>
                <w:sz w:val="22"/>
                <w:szCs w:val="22"/>
                <w:shd w:fill="FFFFFF" w:val="clear"/>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Pr>
                <w:rFonts w:ascii="Arial" w:hAnsi="Arial"/>
                <w:color w:val="000000"/>
                <w:kern w:val="2"/>
                <w:sz w:val="22"/>
                <w:szCs w:val="22"/>
              </w:rPr>
              <w:t>kitus oficialius šaltinių duomenis</w:t>
            </w:r>
            <w:r>
              <w:rPr>
                <w:rFonts w:ascii="Arial" w:hAnsi="Arial"/>
                <w:color w:val="000000"/>
                <w:kern w:val="2"/>
                <w:sz w:val="22"/>
                <w:szCs w:val="22"/>
                <w:shd w:fill="FFFFFF" w:val="clear"/>
              </w:rPr>
              <w:t>, kita svarbi informacija. Prašyme Šalis neturi teisės nurodyti kito indekso ar prašyti perskaičiavimo pagal kitą indeksą nei nurodytas šioje procedūroje.</w:t>
            </w:r>
          </w:p>
          <w:p>
            <w:pPr>
              <w:pStyle w:val="Normal"/>
              <w:jc w:val="both"/>
              <w:rPr>
                <w:rFonts w:ascii="Arial" w:hAnsi="Arial"/>
                <w:color w:val="000000"/>
                <w:sz w:val="22"/>
                <w:szCs w:val="22"/>
              </w:rPr>
            </w:pPr>
            <w:r>
              <w:rPr>
                <w:rFonts w:ascii="Arial" w:hAnsi="Arial"/>
                <w:color w:val="000000"/>
                <w:kern w:val="2"/>
                <w:sz w:val="22"/>
                <w:szCs w:val="22"/>
                <w:shd w:fill="FFFFFF" w:val="clear"/>
              </w:rPr>
              <w:t>5</w:t>
            </w:r>
            <w:r>
              <w:rPr>
                <w:rFonts w:ascii="Arial" w:hAnsi="Arial"/>
                <w:color w:val="000000"/>
                <w:kern w:val="2"/>
                <w:sz w:val="22"/>
                <w:szCs w:val="22"/>
              </w:rPr>
              <w:t>.3.3.9. </w:t>
            </w:r>
            <w:r>
              <w:rPr>
                <w:rFonts w:ascii="Arial" w:hAnsi="Arial"/>
                <w:color w:val="000000"/>
                <w:kern w:val="2"/>
                <w:sz w:val="22"/>
                <w:szCs w:val="22"/>
                <w:shd w:fill="FFFFFF" w:val="clear"/>
              </w:rPr>
              <w:t>Susitarimas turi būti sudarytas per 10 (dešimt) darbo dienų nuo Šalies pateikto tinkamo prašymo perskaičiuoti S</w:t>
            </w:r>
            <w:r>
              <w:rPr>
                <w:rFonts w:ascii="Arial" w:hAnsi="Arial"/>
                <w:color w:val="000000"/>
                <w:kern w:val="2"/>
                <w:sz w:val="22"/>
                <w:szCs w:val="22"/>
              </w:rPr>
              <w:t>utarties</w:t>
            </w:r>
            <w:r>
              <w:rPr>
                <w:rFonts w:ascii="Arial" w:hAnsi="Arial"/>
                <w:color w:val="000000"/>
                <w:kern w:val="2"/>
                <w:sz w:val="22"/>
                <w:szCs w:val="22"/>
                <w:shd w:fill="FFFFFF" w:val="clear"/>
              </w:rPr>
              <w:t xml:space="preserve"> įkainius gavimo dienos.</w:t>
            </w:r>
          </w:p>
          <w:p>
            <w:pPr>
              <w:pStyle w:val="Normal"/>
              <w:jc w:val="both"/>
              <w:rPr>
                <w:rFonts w:ascii="Arial" w:hAnsi="Arial"/>
                <w:color w:val="000000"/>
                <w:sz w:val="22"/>
                <w:szCs w:val="22"/>
              </w:rPr>
            </w:pPr>
            <w:r>
              <w:rPr>
                <w:rFonts w:ascii="Arial" w:hAnsi="Arial"/>
                <w:color w:val="000000"/>
                <w:kern w:val="2"/>
                <w:sz w:val="22"/>
                <w:szCs w:val="22"/>
                <w:shd w:fill="FFFFFF" w:val="clear"/>
              </w:rPr>
              <w:t>5.3.3.10. </w:t>
            </w:r>
            <w:r>
              <w:rPr>
                <w:rFonts w:ascii="Arial" w:hAnsi="Arial"/>
                <w:color w:val="000000"/>
                <w:kern w:val="2"/>
                <w:sz w:val="22"/>
                <w:szCs w:val="22"/>
              </w:rPr>
              <w:t>Susitarimu Šalys neturi teisės keisti procedūroje nurodytos tvarkos ar kitų Sutarties nuostatų, išskyrus, jei keitimas atliekamas pagal VPĮ nuostatas.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5.3.4. Sutarties kainos / įkainių peržiūra dėl kainų lygio pokyčio pagal Prekių grupių kainų pokyčius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color w:val="000000"/>
                <w:sz w:val="22"/>
                <w:szCs w:val="22"/>
              </w:rPr>
            </w:pPr>
            <w:r>
              <w:rPr>
                <w:rFonts w:ascii="Arial" w:hAnsi="Arial"/>
                <w:color w:val="000000"/>
                <w:kern w:val="2"/>
                <w:sz w:val="22"/>
                <w:szCs w:val="22"/>
              </w:rPr>
              <w:t>Netaikoma</w:t>
            </w:r>
          </w:p>
          <w:p>
            <w:pPr>
              <w:pStyle w:val="Normal"/>
              <w:jc w:val="both"/>
              <w:rPr>
                <w:rFonts w:ascii="Arial" w:hAnsi="Arial"/>
                <w:color w:val="000000"/>
                <w:kern w:val="2"/>
                <w:sz w:val="22"/>
                <w:szCs w:val="22"/>
              </w:rPr>
            </w:pPr>
            <w:r>
              <w:rPr>
                <w:rFonts w:ascii="Arial" w:hAnsi="Arial"/>
                <w:color w:val="000000"/>
                <w:kern w:val="2"/>
                <w:sz w:val="22"/>
                <w:szCs w:val="22"/>
              </w:rPr>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 xml:space="preserve">5.4. Sutarties kainos / įkainių apskaičiavimas taikant </w:t>
            </w:r>
            <w:r>
              <w:rPr>
                <w:rFonts w:ascii="Arial" w:hAnsi="Arial"/>
                <w:b/>
                <w:bCs/>
                <w:kern w:val="2"/>
                <w:sz w:val="22"/>
                <w:szCs w:val="22"/>
                <w:u w:val="single"/>
              </w:rPr>
              <w:t>kiekio (apimties)</w:t>
            </w:r>
            <w:r>
              <w:rPr>
                <w:rFonts w:ascii="Arial" w:hAnsi="Arial"/>
                <w:b/>
                <w:bCs/>
                <w:kern w:val="2"/>
                <w:sz w:val="22"/>
                <w:szCs w:val="22"/>
              </w:rPr>
              <w:t xml:space="preserve"> keitimo taisykles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color w:val="000000"/>
                <w:sz w:val="22"/>
                <w:szCs w:val="22"/>
              </w:rPr>
            </w:pPr>
            <w:r>
              <w:rPr>
                <w:rFonts w:ascii="Arial" w:hAnsi="Arial"/>
                <w:color w:val="000000"/>
                <w:kern w:val="2"/>
                <w:sz w:val="22"/>
                <w:szCs w:val="22"/>
              </w:rPr>
              <w:t>Netaikoma</w:t>
            </w:r>
          </w:p>
          <w:p>
            <w:pPr>
              <w:pStyle w:val="Normal"/>
              <w:jc w:val="both"/>
              <w:rPr>
                <w:rFonts w:ascii="Arial" w:hAnsi="Arial"/>
                <w:color w:val="000000"/>
                <w:kern w:val="2"/>
                <w:sz w:val="22"/>
                <w:szCs w:val="22"/>
              </w:rPr>
            </w:pPr>
            <w:r>
              <w:rPr>
                <w:rFonts w:ascii="Arial" w:hAnsi="Arial"/>
                <w:color w:val="000000"/>
                <w:kern w:val="2"/>
                <w:sz w:val="22"/>
                <w:szCs w:val="22"/>
              </w:rPr>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5.5. Atsiskaitymo su Tiekėju terminas ir tvarka</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color w:val="000000"/>
                <w:sz w:val="22"/>
                <w:szCs w:val="22"/>
              </w:rPr>
            </w:pPr>
            <w:r>
              <w:rPr>
                <w:rFonts w:ascii="Arial" w:hAnsi="Arial"/>
                <w:color w:val="000000"/>
                <w:kern w:val="2"/>
                <w:sz w:val="22"/>
                <w:szCs w:val="22"/>
              </w:rPr>
              <w:t>Pirkėjas atsiskaito su Tiekėju ne vėliau kaip per 30 dienų nuo Sąskaitos gavimo dienos.</w:t>
            </w:r>
          </w:p>
          <w:p>
            <w:pPr>
              <w:pStyle w:val="Normal"/>
              <w:jc w:val="both"/>
              <w:rPr>
                <w:rFonts w:ascii="Arial" w:hAnsi="Arial"/>
                <w:color w:val="000000"/>
                <w:sz w:val="22"/>
                <w:szCs w:val="22"/>
              </w:rPr>
            </w:pPr>
            <w:r>
              <w:rPr>
                <w:rFonts w:ascii="Arial" w:hAnsi="Arial"/>
                <w:color w:val="000000"/>
                <w:kern w:val="2"/>
                <w:sz w:val="22"/>
                <w:szCs w:val="22"/>
                <w:shd w:fill="FFFFFF" w:val="clear"/>
              </w:rPr>
              <w:t>Apmokėjimo sąlygos: įvykdžius užsakymą, mokama už konkretų kiekį pagal nustatytus įkainius.</w:t>
            </w:r>
          </w:p>
          <w:p>
            <w:pPr>
              <w:pStyle w:val="Normal"/>
              <w:jc w:val="both"/>
              <w:rPr>
                <w:rFonts w:ascii="Arial" w:hAnsi="Arial"/>
                <w:color w:val="000000"/>
                <w:kern w:val="2"/>
                <w:sz w:val="22"/>
                <w:szCs w:val="22"/>
                <w:shd w:fill="FFFFFF" w:val="clear"/>
              </w:rPr>
            </w:pPr>
            <w:r>
              <w:rPr>
                <w:rFonts w:ascii="Arial" w:hAnsi="Arial"/>
                <w:color w:val="000000"/>
                <w:kern w:val="2"/>
                <w:sz w:val="22"/>
                <w:szCs w:val="22"/>
                <w:shd w:fill="FFFFFF" w:val="clear"/>
              </w:rPr>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5.6. Avansas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color w:val="000000"/>
                <w:sz w:val="22"/>
                <w:szCs w:val="22"/>
              </w:rPr>
            </w:pPr>
            <w:r>
              <w:rPr>
                <w:rFonts w:ascii="Arial" w:hAnsi="Arial"/>
                <w:color w:val="000000"/>
                <w:kern w:val="2"/>
                <w:sz w:val="22"/>
                <w:szCs w:val="22"/>
              </w:rPr>
              <w:t>Netaikoma</w:t>
            </w:r>
          </w:p>
          <w:p>
            <w:pPr>
              <w:pStyle w:val="Normal"/>
              <w:rPr>
                <w:rFonts w:ascii="Arial" w:hAnsi="Arial"/>
                <w:color w:val="000000"/>
                <w:kern w:val="2"/>
                <w:sz w:val="22"/>
                <w:szCs w:val="22"/>
              </w:rPr>
            </w:pPr>
            <w:r>
              <w:rPr>
                <w:rFonts w:ascii="Arial" w:hAnsi="Arial"/>
                <w:color w:val="000000"/>
                <w:kern w:val="2"/>
                <w:sz w:val="22"/>
                <w:szCs w:val="22"/>
              </w:rPr>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5.7. Avanso užtikrinimas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Netaikoma</w:t>
            </w:r>
          </w:p>
          <w:p>
            <w:pPr>
              <w:pStyle w:val="Normal"/>
              <w:rPr>
                <w:rFonts w:ascii="Arial" w:hAnsi="Arial"/>
                <w:kern w:val="2"/>
                <w:sz w:val="22"/>
                <w:szCs w:val="22"/>
              </w:rPr>
            </w:pPr>
            <w:r>
              <w:rPr>
                <w:rFonts w:ascii="Arial" w:hAnsi="Arial"/>
                <w:kern w:val="2"/>
                <w:sz w:val="22"/>
                <w:szCs w:val="22"/>
              </w:rPr>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6. PREKIŲ KOKYBĖ IR GARANTINIAI ĮSIPAREIGOJIMAI</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6.1. Garantinis terminas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P</w:t>
            </w:r>
            <w:r>
              <w:rPr>
                <w:rFonts w:ascii="Arial" w:hAnsi="Arial"/>
                <w:color w:val="000000"/>
                <w:kern w:val="2"/>
                <w:sz w:val="22"/>
                <w:szCs w:val="22"/>
              </w:rPr>
              <w:t>rekėms nustatomas Techninėje specifikacijoje nustatytas garantinis terminas, kuris yra ne trumpesnis nei 12 mėnesių aktyvios eksploatacijos sąlygomis, kuris skaičiuojamas nuo Prekių išdavimo iš Pirkėjo sandėlio dienos (pagal Pirkėjo darbuotojo darbo aprangos išdavimo (grąžinimo) žiniaraštį), bet ne ilgesnis kaip 24 mėnesiai nuo Prekių perdavimo-priėmimo akto pasirašymo dienos.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6.2. Garantinė priežiūra</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sz w:val="22"/>
                <w:szCs w:val="22"/>
              </w:rPr>
              <w:t>Garantinio t</w:t>
            </w:r>
            <w:r>
              <w:rPr>
                <w:rFonts w:ascii="Arial" w:hAnsi="Arial"/>
                <w:color w:val="000000"/>
                <w:sz w:val="22"/>
                <w:szCs w:val="22"/>
              </w:rPr>
              <w:t xml:space="preserve">ermino laikotarpiu nustačius Prekių trūkumų, Tiekėjas turi </w:t>
            </w:r>
            <w:r>
              <w:rPr>
                <w:rFonts w:ascii="Arial" w:hAnsi="Arial"/>
                <w:b/>
                <w:bCs/>
                <w:color w:val="000000"/>
                <w:sz w:val="22"/>
                <w:szCs w:val="22"/>
              </w:rPr>
              <w:t>ne vėliau kaip</w:t>
            </w:r>
            <w:r>
              <w:rPr>
                <w:rFonts w:ascii="Arial" w:hAnsi="Arial"/>
                <w:color w:val="000000"/>
                <w:sz w:val="22"/>
                <w:szCs w:val="22"/>
              </w:rPr>
              <w:t xml:space="preserve"> per 40 (keturiasdešimt) kalendorinių dienų nu</w:t>
            </w:r>
            <w:r>
              <w:rPr>
                <w:rFonts w:ascii="Arial" w:hAnsi="Arial"/>
                <w:sz w:val="22"/>
                <w:szCs w:val="22"/>
              </w:rPr>
              <w:t>o rašytinės pretenzijos gavimo dienos pašalinti Prekių trūkumus.</w:t>
            </w:r>
          </w:p>
          <w:p>
            <w:pPr>
              <w:pStyle w:val="Normal"/>
              <w:jc w:val="both"/>
              <w:rPr>
                <w:rFonts w:ascii="Arial" w:hAnsi="Arial"/>
                <w:sz w:val="22"/>
                <w:szCs w:val="22"/>
              </w:rPr>
            </w:pPr>
            <w:r>
              <w:rPr>
                <w:rFonts w:ascii="Arial" w:hAnsi="Arial"/>
                <w:kern w:val="2"/>
                <w:sz w:val="22"/>
                <w:szCs w:val="22"/>
              </w:rPr>
              <w:t>Prekių trūkumų nustatymo bei šalinimo tvarka nustatyta Bendrųjų sąlygų 7 skyriuje.</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6.3. Kokybinių kriterijų įgyvendinimo ir tikrinimo tvarka</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Netaikoma</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7. SUTARTIES VYKDYMUI PASITELKIAMI SUBTIEKĖJAI</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Sutarties vykdymui pasitelkiami subtiekėjai ir (ar) specialistai</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Sutarties vykdymui subtiekėjai ir (ar) specialistai nepasitelkiami.</w:t>
            </w:r>
          </w:p>
          <w:p>
            <w:pPr>
              <w:pStyle w:val="Normal"/>
              <w:jc w:val="both"/>
              <w:rPr>
                <w:rFonts w:ascii="Arial" w:hAnsi="Arial"/>
                <w:kern w:val="2"/>
                <w:sz w:val="22"/>
                <w:szCs w:val="22"/>
              </w:rPr>
            </w:pPr>
            <w:r>
              <w:rPr>
                <w:rFonts w:ascii="Arial" w:hAnsi="Arial"/>
                <w:kern w:val="2"/>
                <w:sz w:val="22"/>
                <w:szCs w:val="22"/>
              </w:rPr>
            </w:r>
          </w:p>
          <w:p>
            <w:pPr>
              <w:pStyle w:val="Normal"/>
              <w:jc w:val="both"/>
              <w:rPr>
                <w:rFonts w:ascii="Arial" w:hAnsi="Arial"/>
                <w:sz w:val="22"/>
                <w:szCs w:val="22"/>
              </w:rPr>
            </w:pPr>
            <w:r>
              <w:rPr>
                <w:rFonts w:ascii="Arial" w:hAnsi="Arial"/>
                <w:color w:val="FF0000"/>
                <w:kern w:val="2"/>
                <w:sz w:val="22"/>
                <w:szCs w:val="22"/>
              </w:rPr>
              <w:t>arba</w:t>
            </w:r>
          </w:p>
          <w:p>
            <w:pPr>
              <w:pStyle w:val="Normal"/>
              <w:jc w:val="both"/>
              <w:rPr>
                <w:rFonts w:ascii="Arial" w:hAnsi="Arial"/>
                <w:kern w:val="2"/>
                <w:sz w:val="22"/>
                <w:szCs w:val="22"/>
              </w:rPr>
            </w:pPr>
            <w:r>
              <w:rPr>
                <w:rFonts w:ascii="Arial" w:hAnsi="Arial"/>
                <w:kern w:val="2"/>
                <w:sz w:val="22"/>
                <w:szCs w:val="22"/>
              </w:rPr>
            </w:r>
          </w:p>
          <w:p>
            <w:pPr>
              <w:pStyle w:val="Normal"/>
              <w:jc w:val="both"/>
              <w:rPr>
                <w:rFonts w:ascii="Arial" w:hAnsi="Arial"/>
                <w:sz w:val="22"/>
                <w:szCs w:val="22"/>
              </w:rPr>
            </w:pPr>
            <w:r>
              <w:rPr>
                <w:rFonts w:ascii="Arial" w:hAnsi="Arial"/>
                <w:kern w:val="2"/>
                <w:sz w:val="22"/>
                <w:szCs w:val="22"/>
              </w:rPr>
              <w:t>Sutarties vykdymui pasitelkiami subtiekėjai ir (ar) specialistai yra nurodyti Sutarties priede Nr. 5 „Sutarties vykdymui pasitelkiami subtiekėjai ir (ar) specialistai“.</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8. PRIEVOLIŲ PAGAL SUTARTĮ ĮVYKDYMO UŽTIKRINIMAS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color w:val="000000"/>
                <w:kern w:val="2"/>
                <w:sz w:val="22"/>
                <w:szCs w:val="22"/>
              </w:rPr>
              <w:t>8.1. Prievolių pagal Sutartį įvykdymo užtikrinimas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rPr>
              <w:t>Prievolių pagal Sutartį įvykdymas užtikrinamas:</w:t>
            </w:r>
          </w:p>
          <w:p>
            <w:pPr>
              <w:pStyle w:val="Normal"/>
              <w:jc w:val="both"/>
              <w:rPr>
                <w:rFonts w:ascii="Arial" w:hAnsi="Arial"/>
                <w:sz w:val="22"/>
                <w:szCs w:val="22"/>
              </w:rPr>
            </w:pPr>
            <w:r>
              <w:rPr>
                <w:rFonts w:ascii="Arial" w:hAnsi="Arial"/>
                <w:color w:val="000000"/>
                <w:kern w:val="2"/>
                <w:sz w:val="22"/>
                <w:szCs w:val="22"/>
              </w:rPr>
              <w:t>8.1.1. Netesybomis (delspinigiais, bauda);</w:t>
            </w:r>
          </w:p>
          <w:p>
            <w:pPr>
              <w:pStyle w:val="Normal"/>
              <w:jc w:val="both"/>
              <w:rPr>
                <w:rFonts w:ascii="Arial" w:hAnsi="Arial"/>
                <w:sz w:val="22"/>
                <w:szCs w:val="22"/>
              </w:rPr>
            </w:pPr>
            <w:r>
              <w:rPr>
                <w:rFonts w:ascii="Arial" w:hAnsi="Arial"/>
                <w:color w:val="000000"/>
                <w:kern w:val="2"/>
                <w:sz w:val="22"/>
                <w:szCs w:val="22"/>
              </w:rPr>
              <w:t>8.1.2. Vienu iš sutarties įvykdymo užtikrinimo būdu:</w:t>
            </w:r>
          </w:p>
          <w:p>
            <w:pPr>
              <w:pStyle w:val="Normal"/>
              <w:jc w:val="both"/>
              <w:rPr>
                <w:rFonts w:ascii="Arial" w:hAnsi="Arial"/>
                <w:sz w:val="22"/>
                <w:szCs w:val="22"/>
              </w:rPr>
            </w:pPr>
            <w:r>
              <w:rPr>
                <w:rFonts w:ascii="Arial" w:hAnsi="Arial"/>
                <w:color w:val="000000"/>
                <w:kern w:val="2"/>
                <w:sz w:val="22"/>
                <w:szCs w:val="22"/>
              </w:rPr>
              <w:t>8.1.2.1. pirmo pareikalavimo banko garantija;</w:t>
            </w:r>
          </w:p>
          <w:p>
            <w:pPr>
              <w:pStyle w:val="Normal"/>
              <w:jc w:val="both"/>
              <w:rPr>
                <w:rFonts w:ascii="Arial" w:hAnsi="Arial"/>
                <w:sz w:val="22"/>
                <w:szCs w:val="22"/>
              </w:rPr>
            </w:pPr>
            <w:r>
              <w:rPr>
                <w:rFonts w:ascii="Arial" w:hAnsi="Arial"/>
                <w:color w:val="000000"/>
                <w:kern w:val="2"/>
                <w:sz w:val="22"/>
                <w:szCs w:val="22"/>
              </w:rPr>
              <w:t>8.1.2.2. draudimo bendrovės laidavimo draudimu.</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8.2. Sutarties įvykdymo užtikrinimo galiojimo terminas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rPr>
              <w:t>Sutarties įvykdymo užtikrinimo galiojimo terminas turi būti ne trumpesnis nei Sutarties galiojimo terminas.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8.3. Sutarties įvykdymo užtikrinimo pateikimas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shd w:fill="FFFFFF" w:val="clear"/>
              </w:rPr>
              <w:t>Tiekėjas ne vėliau kaip per 10 (dešimt) darbo dienų nuo Sutarties pasirašymo dienos turi pateikti Pirkėjui 1 (vieno) proc. nuo atitinkamos P.o.d. Pradinės Sutarties vertės be PVM,</w:t>
            </w:r>
            <w:r>
              <w:rPr>
                <w:rFonts w:ascii="Arial" w:hAnsi="Arial"/>
                <w:color w:val="000000"/>
                <w:kern w:val="2"/>
                <w:sz w:val="22"/>
                <w:szCs w:val="22"/>
              </w:rPr>
              <w:t xml:space="preserve"> </w:t>
            </w:r>
            <w:r>
              <w:rPr>
                <w:rFonts w:ascii="Arial" w:hAnsi="Arial"/>
                <w:color w:val="000000"/>
                <w:kern w:val="2"/>
                <w:sz w:val="22"/>
                <w:szCs w:val="22"/>
                <w:shd w:fill="FFFFFF" w:val="clear"/>
              </w:rPr>
              <w:t xml:space="preserve">nurodytos </w:t>
            </w:r>
            <w:r>
              <w:rPr>
                <w:rFonts w:ascii="Arial" w:hAnsi="Arial"/>
                <w:color w:val="000000"/>
                <w:kern w:val="2"/>
                <w:sz w:val="22"/>
                <w:szCs w:val="22"/>
              </w:rPr>
              <w:t xml:space="preserve">Specialiųjų sąlygų </w:t>
            </w:r>
            <w:r>
              <w:rPr>
                <w:rFonts w:ascii="Arial" w:hAnsi="Arial"/>
                <w:color w:val="000000"/>
                <w:kern w:val="2"/>
                <w:sz w:val="22"/>
                <w:szCs w:val="22"/>
                <w:shd w:fill="FFFFFF" w:val="clear"/>
              </w:rPr>
              <w:t>5.2 punkte, Sutarties užtikrinimą, Pirkėjo pasirinktu vienu iš prievolių įvykdymo užtikrinimo būdu, nurodytu Specialiųjų sąlygų 8.1.2 punkto  papunkčiuose, atitinkančius dokumentus, atitinkančius Bendrųjų sąlygų 10 skyriaus reikalavimus. Esant poreikiui, gavus Tiekėjo prašymą, šis terminas gali būti pratęstas Šalių suderintam terminui.</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color w:val="000000"/>
                <w:kern w:val="2"/>
                <w:sz w:val="22"/>
                <w:szCs w:val="22"/>
              </w:rPr>
              <w:t>9. ŠALIŲ ATSAKOMYBĖ</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9.1. Pirkėjui taikomos netesybos už mokėjimų pagal Sutartį vėlavimą</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9.2. Tiekėjui taikomos netesybos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rPr>
              <w:t>9.2.1. Jeigu Tiekėjas vėluoja vykdyti užsakymą, tiekti Prekes ar ištaisyti jų trūkumus</w:t>
            </w:r>
            <w:r>
              <w:rPr>
                <w:rFonts w:ascii="Arial" w:hAnsi="Arial"/>
                <w:color w:val="000000"/>
                <w:sz w:val="22"/>
                <w:szCs w:val="22"/>
              </w:rPr>
              <w:t xml:space="preserve"> </w:t>
            </w:r>
            <w:r>
              <w:rPr>
                <w:rFonts w:ascii="Arial" w:hAnsi="Arial"/>
                <w:color w:val="000000"/>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w:t>
            </w:r>
          </w:p>
          <w:p>
            <w:pPr>
              <w:pStyle w:val="Normal"/>
              <w:jc w:val="both"/>
              <w:rPr>
                <w:rFonts w:ascii="Arial" w:hAnsi="Arial"/>
                <w:sz w:val="22"/>
                <w:szCs w:val="22"/>
              </w:rPr>
            </w:pPr>
            <w:r>
              <w:rPr>
                <w:rFonts w:ascii="Arial" w:hAnsi="Arial"/>
                <w:color w:val="000000"/>
                <w:sz w:val="22"/>
                <w:szCs w:val="22"/>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pPr>
              <w:pStyle w:val="Normal"/>
              <w:jc w:val="both"/>
              <w:rPr>
                <w:rFonts w:ascii="Arial" w:hAnsi="Arial"/>
                <w:sz w:val="22"/>
                <w:szCs w:val="22"/>
              </w:rPr>
            </w:pPr>
            <w:r>
              <w:rPr>
                <w:rFonts w:ascii="Arial" w:hAnsi="Arial"/>
                <w:color w:val="000000"/>
                <w:kern w:val="2"/>
                <w:sz w:val="22"/>
                <w:szCs w:val="22"/>
              </w:rPr>
              <w:t xml:space="preserve">9.2.3. Tiekėjas privalo sumokėti Pirkėjui netesybas per 30 (trisdešimt) dienų nuo Pirkėjo pareikalavimo, jeigu netesybų suma nėra </w:t>
            </w:r>
            <w:r>
              <w:rPr>
                <w:rFonts w:ascii="Arial" w:hAnsi="Arial"/>
                <w:color w:val="000000"/>
                <w:sz w:val="22"/>
                <w:szCs w:val="22"/>
              </w:rPr>
              <w:t>išskaitoma iš Tiekėjui mokėtinos sumos.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 xml:space="preserve">9.3. Tiekėjui / Pirkėjui taikoma bauda nutraukus Sutartį dėl esminio Sutarties pažeidimo </w:t>
            </w:r>
            <w:r>
              <w:rPr>
                <w:rFonts w:ascii="Arial" w:hAnsi="Arial"/>
                <w:b/>
                <w:kern w:val="2"/>
                <w:sz w:val="22"/>
                <w:szCs w:val="22"/>
              </w:rPr>
              <w:t>ar nepagrįstai nutraukus Sutarties vykdymą ne Sutartyje nustatyta tvarka</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9.3.1. Nutraukus Sutartį dėl esminio Sutarties pažeidimo, nustatyto Sutarties Specialiosiose sąlygose, moka</w:t>
            </w:r>
            <w:r>
              <w:rPr>
                <w:rFonts w:ascii="Arial" w:hAnsi="Arial"/>
                <w:color w:val="000000"/>
                <w:kern w:val="2"/>
                <w:sz w:val="22"/>
                <w:szCs w:val="22"/>
              </w:rPr>
              <w:t xml:space="preserve">ma 1 (vieno) procento </w:t>
            </w:r>
            <w:r>
              <w:rPr>
                <w:rFonts w:ascii="Arial" w:hAnsi="Arial"/>
                <w:kern w:val="2"/>
                <w:sz w:val="22"/>
                <w:szCs w:val="22"/>
              </w:rPr>
              <w:t>dydžio bauda nuo Pradinės Sutarties vertės be PVM, nurodytos Specialiųjų sąlygų 5.2 punkte.</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rPr>
              <w:t>Netaikoma</w:t>
            </w:r>
          </w:p>
          <w:p>
            <w:pPr>
              <w:pStyle w:val="Normal"/>
              <w:jc w:val="both"/>
              <w:rPr>
                <w:rFonts w:ascii="Arial" w:hAnsi="Arial"/>
                <w:kern w:val="2"/>
                <w:sz w:val="22"/>
                <w:szCs w:val="22"/>
              </w:rPr>
            </w:pPr>
            <w:r>
              <w:rPr>
                <w:rFonts w:ascii="Arial" w:hAnsi="Arial"/>
                <w:kern w:val="2"/>
                <w:sz w:val="22"/>
                <w:szCs w:val="22"/>
              </w:rPr>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9.5. Tiekėjui taikomos baudos dėl aplinkosauginių ir (arba) socialinių kriterijų nesilaikymo</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sz w:val="22"/>
                <w:szCs w:val="22"/>
              </w:rPr>
              <w:t>1 000,00 (vienas tūkstantis eurų, 00 ct) Eur.</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9.6. Tiekėjui / Pirkėjui taikoma bauda dėl konfidencialumo reikalavimų nesilaikymo</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sz w:val="22"/>
                <w:szCs w:val="22"/>
              </w:rPr>
            </w:r>
          </w:p>
          <w:p>
            <w:pPr>
              <w:pStyle w:val="Normal"/>
              <w:jc w:val="both"/>
              <w:rPr>
                <w:rFonts w:ascii="Arial" w:hAnsi="Arial"/>
                <w:sz w:val="22"/>
                <w:szCs w:val="22"/>
              </w:rPr>
            </w:pPr>
            <w:r>
              <w:rPr>
                <w:rFonts w:ascii="Arial" w:hAnsi="Arial"/>
                <w:sz w:val="22"/>
                <w:szCs w:val="22"/>
              </w:rPr>
              <w:t>3 000,00 (tr</w:t>
            </w:r>
            <w:r>
              <w:rPr>
                <w:rFonts w:ascii="Arial" w:hAnsi="Arial"/>
                <w:sz w:val="22"/>
                <w:szCs w:val="22"/>
              </w:rPr>
              <w:t>y</w:t>
            </w:r>
            <w:r>
              <w:rPr>
                <w:rFonts w:ascii="Arial" w:hAnsi="Arial"/>
                <w:sz w:val="22"/>
                <w:szCs w:val="22"/>
              </w:rPr>
              <w:t>s tūkstančiai eurų, 00 ct) Eur.</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9.8. Tiekėjui taikomos netesybos dėl Sutarties įvykdymo užtikrinimo nepratęsimo</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Netaikoma</w:t>
            </w:r>
          </w:p>
          <w:p>
            <w:pPr>
              <w:pStyle w:val="Normal"/>
              <w:rPr>
                <w:rFonts w:ascii="Arial" w:hAnsi="Arial"/>
                <w:sz w:val="22"/>
                <w:szCs w:val="22"/>
              </w:rPr>
            </w:pPr>
            <w:r>
              <w:rPr>
                <w:rFonts w:ascii="Arial" w:hAnsi="Arial"/>
                <w:sz w:val="22"/>
                <w:szCs w:val="22"/>
              </w:rPr>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spacing w:lineRule="auto" w:line="259"/>
              <w:rPr>
                <w:rFonts w:ascii="Arial" w:hAnsi="Arial"/>
                <w:sz w:val="22"/>
                <w:szCs w:val="22"/>
              </w:rPr>
            </w:pPr>
            <w:r>
              <w:rPr>
                <w:rFonts w:ascii="Arial" w:hAnsi="Arial"/>
                <w:kern w:val="2"/>
                <w:sz w:val="22"/>
                <w:szCs w:val="22"/>
              </w:rPr>
              <w:t>Netaikoma</w:t>
            </w:r>
          </w:p>
          <w:p>
            <w:pPr>
              <w:pStyle w:val="Normal"/>
              <w:rPr>
                <w:rFonts w:ascii="Arial" w:hAnsi="Arial"/>
                <w:color w:val="4472C4"/>
                <w:kern w:val="2"/>
                <w:sz w:val="22"/>
                <w:szCs w:val="22"/>
              </w:rPr>
            </w:pPr>
            <w:r>
              <w:rPr>
                <w:rFonts w:ascii="Arial" w:hAnsi="Arial"/>
                <w:color w:val="4472C4"/>
                <w:kern w:val="2"/>
                <w:sz w:val="22"/>
                <w:szCs w:val="22"/>
              </w:rPr>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9.10. Kitos netesybos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spacing w:lineRule="auto" w:line="259"/>
              <w:rPr>
                <w:rFonts w:ascii="Arial" w:hAnsi="Arial"/>
                <w:sz w:val="22"/>
                <w:szCs w:val="22"/>
              </w:rPr>
            </w:pPr>
            <w:r>
              <w:rPr>
                <w:rFonts w:ascii="Arial" w:hAnsi="Arial"/>
                <w:kern w:val="2"/>
                <w:sz w:val="22"/>
                <w:szCs w:val="22"/>
              </w:rPr>
              <w:t>Netaikoma</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kern w:val="2"/>
                <w:sz w:val="22"/>
                <w:szCs w:val="22"/>
              </w:rPr>
              <w:t>10. ESMINĖS SUTARTIES SĄLYGOS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sz w:val="22"/>
                <w:szCs w:val="22"/>
              </w:rPr>
              <w:t>10.1. Esminės Sutarties sąlygos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color w:val="000000"/>
                <w:sz w:val="22"/>
                <w:szCs w:val="22"/>
              </w:rPr>
            </w:pPr>
            <w:r>
              <w:rPr>
                <w:rFonts w:ascii="Arial" w:hAnsi="Arial"/>
                <w:color w:val="000000"/>
                <w:kern w:val="2"/>
                <w:sz w:val="22"/>
                <w:szCs w:val="22"/>
              </w:rPr>
              <w:t>Šalys susitaria, kad Sutarties 3.1 p. (Prekių kokybės pažeidimas), ir 4.1 p. (Prekių pristatymo terminų pažeidimas) yra esminės Sutarties sąlygos.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10.2. Dideli arba nuolatiniai esminės Sutarties sąlygos vykdymo trūkumai</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color w:val="000000"/>
                <w:sz w:val="22"/>
                <w:szCs w:val="22"/>
              </w:rPr>
            </w:pPr>
            <w:r>
              <w:rPr>
                <w:rFonts w:ascii="Arial" w:hAnsi="Arial"/>
                <w:color w:val="000000"/>
                <w:kern w:val="2"/>
                <w:sz w:val="22"/>
                <w:szCs w:val="22"/>
              </w:rPr>
              <w:t>10.2.1. Tiekėjo uždelsimas, trunkantis daugiau nei 5 (penkias) darbo dienas, pristatyti Prekes Techninės specifikacijoje nurodytais terminais.</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11. SUTARTIES GALIOJIMAS IR KEITIMAS</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11.1. Sutarties sudarymas ir įsigaliojimas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color w:val="000000"/>
                <w:sz w:val="22"/>
                <w:szCs w:val="22"/>
              </w:rPr>
            </w:pPr>
            <w:r>
              <w:rPr>
                <w:rFonts w:ascii="Arial" w:hAnsi="Arial"/>
                <w:color w:val="000000"/>
                <w:kern w:val="2"/>
                <w:sz w:val="22"/>
                <w:szCs w:val="22"/>
              </w:rPr>
              <w:t>Sutartis laikoma sudaryta ir įsigalioja ją pasirašius įgaliotiems Šalių atstovams, nustatyta tvarka užregistravus ir Tiekėjui pateikus tinkamą Sutarties įvykdymo užtikrinimą įrodantį dokumentą, nustatytą Sutartyje. Sutartis galioja iki visiško Sutartinių įsipareigojimų įvykdymo arba Sutarties nutraukimo, bet ne ilgiau nei 36 (trisdešimt šešis) mėnesius nuo Sutarties įsigaliojimo dienos. Į Sutarties galiojimo laikotarpį neįskaičiuotas atsiskaitymo už Paslaugas laikotarpis, kuris numatytas Sutarties Specialiųjų sąlygų 5.5 punkte.</w:t>
            </w:r>
          </w:p>
        </w:tc>
      </w:tr>
      <w:tr>
        <w:trPr>
          <w:trHeight w:val="300" w:hRule="atLeast"/>
        </w:trPr>
        <w:tc>
          <w:tcPr>
            <w:tcW w:w="2706"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11.2. Sutarties galiojimo termino pratęsimas</w:t>
            </w:r>
          </w:p>
        </w:tc>
        <w:tc>
          <w:tcPr>
            <w:tcW w:w="6828" w:type="dxa"/>
            <w:gridSpan w:val="2"/>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kern w:val="2"/>
                <w:sz w:val="22"/>
                <w:szCs w:val="22"/>
              </w:rPr>
              <w:t>Netaikoma</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12. SUTARTIES NUTRAUKIMAS</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12.1. Sutarties nutraukimo pagrindai</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Sutartis gali būti nutraukiama rašytiniu Šalių susitarimu arba vienašališkai, Bendrosiose sąlygose nustatyta tvarka.</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12.2. Esminiai Sutarties pažeidimai</w:t>
            </w:r>
          </w:p>
          <w:p>
            <w:pPr>
              <w:pStyle w:val="Normal"/>
              <w:rPr>
                <w:rFonts w:ascii="Arial" w:hAnsi="Arial"/>
                <w:b/>
                <w:bCs/>
                <w:kern w:val="2"/>
                <w:sz w:val="22"/>
                <w:szCs w:val="22"/>
              </w:rPr>
            </w:pPr>
            <w:r>
              <w:rPr>
                <w:rFonts w:ascii="Arial" w:hAnsi="Arial"/>
                <w:b/>
                <w:bCs/>
                <w:kern w:val="2"/>
                <w:sz w:val="22"/>
                <w:szCs w:val="22"/>
              </w:rPr>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color w:val="000000"/>
                <w:sz w:val="22"/>
                <w:szCs w:val="22"/>
              </w:rPr>
            </w:pPr>
            <w:r>
              <w:rPr>
                <w:rFonts w:ascii="Arial" w:hAnsi="Arial"/>
                <w:color w:val="000000"/>
                <w:kern w:val="2"/>
                <w:sz w:val="22"/>
                <w:szCs w:val="22"/>
              </w:rPr>
              <w:t>12.2.1. jeigu Tiekėjas nevykdo prisiimtų įsipareigojimų už Sutartyje nustatytą Sutarties įkainius;</w:t>
            </w:r>
          </w:p>
          <w:p>
            <w:pPr>
              <w:pStyle w:val="Normal"/>
              <w:jc w:val="both"/>
              <w:rPr>
                <w:rFonts w:ascii="Arial" w:hAnsi="Arial"/>
                <w:color w:val="000000"/>
                <w:sz w:val="22"/>
                <w:szCs w:val="22"/>
              </w:rPr>
            </w:pPr>
            <w:r>
              <w:rPr>
                <w:rFonts w:ascii="Arial" w:hAnsi="Arial"/>
                <w:color w:val="000000"/>
                <w:kern w:val="2"/>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pPr>
              <w:pStyle w:val="Normal"/>
              <w:jc w:val="both"/>
              <w:rPr>
                <w:rFonts w:ascii="Arial" w:hAnsi="Arial"/>
                <w:color w:val="000000"/>
                <w:sz w:val="22"/>
                <w:szCs w:val="22"/>
              </w:rPr>
            </w:pPr>
            <w:r>
              <w:rPr>
                <w:rFonts w:ascii="Arial" w:hAnsi="Arial"/>
                <w:color w:val="000000"/>
                <w:kern w:val="2"/>
                <w:sz w:val="22"/>
                <w:szCs w:val="22"/>
              </w:rPr>
              <w:t>12.2.3. </w:t>
            </w:r>
            <w:r>
              <w:rPr>
                <w:rFonts w:eastAsia="Arial" w:ascii="Arial" w:hAnsi="Arial"/>
                <w:color w:val="000000"/>
                <w:kern w:val="2"/>
                <w:sz w:val="22"/>
                <w:szCs w:val="22"/>
              </w:rPr>
              <w:t>jeigu Tiekėjas pažeidžia Prekių pristatymo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color w:val="000000"/>
                <w:sz w:val="22"/>
                <w:szCs w:val="22"/>
              </w:rPr>
            </w:pPr>
            <w:r>
              <w:rPr>
                <w:rFonts w:eastAsia="Arial" w:ascii="Arial" w:hAnsi="Arial"/>
                <w:color w:val="000000"/>
                <w:kern w:val="2"/>
                <w:sz w:val="22"/>
                <w:szCs w:val="22"/>
              </w:rPr>
              <w:t>12.2.4. Tiekėjas pažeidžia Prekių pristatymo terminus ir dėl Prekių pristatymo vėlavimo Prekės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color w:val="000000"/>
                <w:sz w:val="22"/>
                <w:szCs w:val="22"/>
              </w:rPr>
            </w:pPr>
            <w:r>
              <w:rPr>
                <w:rFonts w:eastAsia="Arial" w:ascii="Arial" w:hAnsi="Arial"/>
                <w:color w:val="000000"/>
                <w:kern w:val="2"/>
                <w:sz w:val="22"/>
                <w:szCs w:val="22"/>
              </w:rPr>
              <w:t>12.2.5. Tiekėjas daugiau kaip 2 (du) kartus pristato Prekes, kurios neatitinka Sutartyje ir (ar) Įstatymuose nustatytų reikalavimų Prekėms;</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color w:val="000000"/>
                <w:sz w:val="22"/>
                <w:szCs w:val="22"/>
              </w:rPr>
            </w:pPr>
            <w:r>
              <w:rPr>
                <w:rFonts w:eastAsia="Arial" w:ascii="Arial" w:hAnsi="Arial"/>
                <w:color w:val="000000"/>
                <w:kern w:val="2"/>
                <w:sz w:val="22"/>
                <w:szCs w:val="22"/>
              </w:rPr>
              <w:t>12.2.6. Tiekėjas pažeidžia šios Sutarties nuostatas, reglamentuojančias konkurenciją, intelektinės nuosavybės ar konfidencialios informacijos valdymą;</w:t>
            </w:r>
          </w:p>
          <w:p>
            <w:pPr>
              <w:pStyle w:val="Normal"/>
              <w:tabs>
                <w:tab w:val="clear" w:pos="1296"/>
                <w:tab w:val="left" w:pos="567" w:leader="none"/>
                <w:tab w:val="left" w:pos="851" w:leader="none"/>
                <w:tab w:val="left" w:pos="992" w:leader="none"/>
                <w:tab w:val="left" w:pos="1134" w:leader="none"/>
              </w:tabs>
              <w:spacing w:lineRule="auto" w:line="252"/>
              <w:jc w:val="both"/>
              <w:rPr>
                <w:rFonts w:ascii="Arial" w:hAnsi="Arial"/>
                <w:color w:val="000000"/>
                <w:sz w:val="22"/>
                <w:szCs w:val="22"/>
              </w:rPr>
            </w:pPr>
            <w:r>
              <w:rPr>
                <w:rFonts w:eastAsia="Arial" w:ascii="Arial" w:hAnsi="Arial"/>
                <w:color w:val="000000"/>
                <w:kern w:val="2"/>
                <w:sz w:val="22"/>
                <w:szCs w:val="22"/>
              </w:rPr>
              <w:t>12.2.7. Tiekėjas 2 (du) kartus pažeidžia esminę Sutarties sąlygą.</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13. APLINKOSAUGINIAI IR SOCIALINIAI KRITERIJAI</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13.1. Aplinkosauginių kriterijų nustatymo teisinis pagrindas</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shd w:fill="FFFFFF" w:val="clear"/>
              </w:rPr>
              <w:t xml:space="preserve">Aplinkosauginiai kriterijai Prekėms nustatomi vadovaujantis </w:t>
            </w:r>
            <w:r>
              <w:rPr>
                <w:rFonts w:ascii="Arial" w:hAnsi="Arial"/>
                <w:color w:val="000000"/>
                <w:kern w:val="2"/>
                <w:sz w:val="22"/>
                <w:szCs w:val="22"/>
              </w:rPr>
              <w:t>Aplinkos apsaugos kriterijų taikymo, vykdant žaliuosius pirkimus, tvarkos aprašo, patvirtinto Lietuvos Respublikos aplinkos ministro 2011 m. birželio 28 d. įsakymu Nr. D1-508</w:t>
            </w:r>
            <w:r>
              <w:rPr>
                <w:rFonts w:ascii="Arial" w:hAnsi="Arial"/>
                <w:color w:val="000000"/>
                <w:kern w:val="2"/>
                <w:sz w:val="22"/>
                <w:szCs w:val="22"/>
                <w:shd w:fill="FFFFFF" w:val="clear"/>
              </w:rPr>
              <w:t> „Dėl Aplinkos apsaugos kriterijų taikymo, vykdant žaliuosius pirkimus, tvarkos aprašo patvirtinimo“ (toliau – Tvarkos aprašas) Tiekėjas privalo užtikrinti, kad:</w:t>
            </w:r>
          </w:p>
          <w:p>
            <w:pPr>
              <w:pStyle w:val="Normal"/>
              <w:numPr>
                <w:ilvl w:val="0"/>
                <w:numId w:val="1"/>
              </w:numPr>
              <w:jc w:val="both"/>
              <w:rPr>
                <w:rFonts w:ascii="Arial" w:hAnsi="Arial"/>
                <w:sz w:val="22"/>
                <w:szCs w:val="22"/>
              </w:rPr>
            </w:pPr>
            <w:r>
              <w:rPr>
                <w:rFonts w:ascii="Arial" w:hAnsi="Arial"/>
                <w:color w:val="000000"/>
                <w:kern w:val="2"/>
                <w:sz w:val="22"/>
                <w:szCs w:val="22"/>
                <w:shd w:fill="FFFFFF" w:val="clear"/>
              </w:rPr>
              <w:t>gaminių gamyboje būtų taikoma aplinkos apsaugos vadybos sistema pagal ISO 14001 arba lygiavertį standartą;</w:t>
            </w:r>
          </w:p>
          <w:p>
            <w:pPr>
              <w:pStyle w:val="Normal"/>
              <w:numPr>
                <w:ilvl w:val="0"/>
                <w:numId w:val="1"/>
              </w:numPr>
              <w:jc w:val="both"/>
              <w:rPr>
                <w:rFonts w:ascii="Arial" w:hAnsi="Arial"/>
                <w:sz w:val="22"/>
                <w:szCs w:val="22"/>
              </w:rPr>
            </w:pPr>
            <w:r>
              <w:rPr>
                <w:rFonts w:ascii="Arial" w:hAnsi="Arial"/>
                <w:color w:val="000000"/>
                <w:kern w:val="2"/>
                <w:sz w:val="22"/>
                <w:szCs w:val="22"/>
                <w:shd w:fill="FFFFFF" w:val="clear"/>
              </w:rPr>
              <w:t>tiekiami tekstilės gaminiai atitiktų OEKO-TEX® STANDARD 100 arba lygiaverčio standarto reikalavimus;</w:t>
            </w:r>
          </w:p>
          <w:p>
            <w:pPr>
              <w:pStyle w:val="Normal"/>
              <w:numPr>
                <w:ilvl w:val="0"/>
                <w:numId w:val="1"/>
              </w:numPr>
              <w:jc w:val="both"/>
              <w:rPr>
                <w:rFonts w:ascii="Arial" w:hAnsi="Arial"/>
                <w:sz w:val="22"/>
                <w:szCs w:val="22"/>
              </w:rPr>
            </w:pPr>
            <w:r>
              <w:rPr>
                <w:rFonts w:ascii="Arial" w:hAnsi="Arial"/>
                <w:color w:val="000000"/>
                <w:kern w:val="2"/>
                <w:sz w:val="22"/>
                <w:szCs w:val="22"/>
                <w:shd w:fill="FFFFFF" w:val="clear"/>
              </w:rPr>
              <w:t>bendravimas, užsakymų teikimas ir dokumentų apsikeitimas tarp Pirkėjo ir Tiekėjo būtų vykdomas elektroninėmis priemonėmis.</w:t>
            </w:r>
          </w:p>
          <w:p>
            <w:pPr>
              <w:pStyle w:val="Normal"/>
              <w:jc w:val="both"/>
              <w:rPr>
                <w:rFonts w:ascii="Arial" w:hAnsi="Arial"/>
                <w:sz w:val="22"/>
                <w:szCs w:val="22"/>
              </w:rPr>
            </w:pPr>
            <w:r>
              <w:rPr>
                <w:rFonts w:ascii="Arial" w:hAnsi="Arial"/>
                <w:color w:val="000000"/>
                <w:kern w:val="2"/>
                <w:sz w:val="22"/>
                <w:szCs w:val="22"/>
                <w:shd w:fill="FFFFFF" w:val="clear"/>
              </w:rPr>
              <w:t>Nustačius, kad Tiekėjas šiame papunktyje nustatyto kriterijaus (-jų) nesilaiko, Tiekėjui taikoma Specialiųjų sąlygų 9.5 punkte nurodyto dydžio bauda.</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bCs/>
                <w:kern w:val="2"/>
                <w:sz w:val="22"/>
                <w:szCs w:val="22"/>
              </w:rPr>
              <w:t>13.2.  Su perkamomis Prekėmis susiję socialiniai kriterijai</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color w:val="000000"/>
                <w:kern w:val="2"/>
                <w:sz w:val="22"/>
                <w:szCs w:val="22"/>
                <w:shd w:fill="FFFFFF" w:val="clear"/>
              </w:rPr>
              <w:t>Netaikoma</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14. BENDRŲJŲ SĄLYGŲ PAKEITIMAI IR PAPILDYMAI</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kern w:val="2"/>
                <w:sz w:val="22"/>
                <w:szCs w:val="22"/>
              </w:rPr>
              <w:t>14.1.</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Šalys susitaria pakeisti nurodytą Sutarties Bendrųjų sąlygų punktą ir išdėstyti jį nauja redakcija:</w:t>
            </w:r>
          </w:p>
          <w:p>
            <w:pPr>
              <w:pStyle w:val="Normal"/>
              <w:jc w:val="both"/>
              <w:rPr>
                <w:rFonts w:ascii="Arial" w:hAnsi="Arial"/>
                <w:sz w:val="22"/>
                <w:szCs w:val="22"/>
              </w:rPr>
            </w:pPr>
            <w:r>
              <w:rPr>
                <w:rFonts w:ascii="Arial" w:hAnsi="Arial"/>
                <w:kern w:val="2"/>
                <w:sz w:val="22"/>
                <w:szCs w:val="22"/>
              </w:rPr>
              <w:t>„</w:t>
            </w:r>
            <w:r>
              <w:rPr>
                <w:rFonts w:ascii="Arial" w:hAnsi="Arial"/>
                <w:kern w:val="2"/>
                <w:sz w:val="22"/>
                <w:szCs w:val="22"/>
              </w:rPr>
              <w:t>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duomenų rūšis ir duomenų subjektų kategorijas bei duomenų valdytojo ir duomenų tvarkytojo prievoles ir teises.“.</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kern w:val="2"/>
                <w:sz w:val="22"/>
                <w:szCs w:val="22"/>
              </w:rPr>
              <w:t>14.2.</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sz w:val="22"/>
                <w:szCs w:val="22"/>
              </w:rPr>
              <w:t>Šalys susitaria papildyti Sutarties Bendrąsias sąlygas nurodytu punktu:</w:t>
            </w:r>
          </w:p>
          <w:p>
            <w:pPr>
              <w:pStyle w:val="Normal"/>
              <w:jc w:val="both"/>
              <w:rPr>
                <w:rFonts w:ascii="Arial" w:hAnsi="Arial"/>
                <w:sz w:val="22"/>
                <w:szCs w:val="22"/>
              </w:rPr>
            </w:pPr>
            <w:r>
              <w:rPr>
                <w:rFonts w:ascii="Arial" w:hAnsi="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Pr>
                <w:rFonts w:eastAsia="Aptos" w:ascii="Arial" w:hAnsi="Arial"/>
                <w:iCs/>
                <w:sz w:val="22"/>
                <w:szCs w:val="22"/>
              </w:rPr>
              <w:t>(Sutarties Specialiųjų sąlygų priedas Nr. 3 „Įsipareigojimas neatskleisti konfidencialios informacijos“)</w:t>
            </w:r>
            <w:r>
              <w:rPr>
                <w:rFonts w:ascii="Arial" w:hAnsi="Arial"/>
                <w:i/>
                <w:iCs/>
                <w:sz w:val="22"/>
                <w:szCs w:val="22"/>
              </w:rPr>
              <w:t>.</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kern w:val="2"/>
                <w:sz w:val="22"/>
                <w:szCs w:val="22"/>
              </w:rPr>
              <w:t>14.3.</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Šalys susitaria papildyti Sutarties Bendrąsias sąlygas nurodytais punktais, tačiau kitų punktų numeracijos nekeisti:</w:t>
            </w:r>
          </w:p>
          <w:p>
            <w:pPr>
              <w:pStyle w:val="Normal"/>
              <w:jc w:val="both"/>
              <w:rPr/>
            </w:pPr>
            <w:r>
              <w:rPr>
                <w:rFonts w:ascii="Arial" w:hAnsi="Arial"/>
                <w:kern w:val="2"/>
                <w:sz w:val="22"/>
                <w:szCs w:val="22"/>
              </w:rPr>
              <w:t>„</w:t>
            </w:r>
            <w:r>
              <w:rPr>
                <w:rFonts w:ascii="Arial" w:hAnsi="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2">
              <w:r>
                <w:rPr>
                  <w:rStyle w:val="Hyperlink"/>
                  <w:rFonts w:ascii="Arial" w:hAnsi="Arial"/>
                  <w:kern w:val="2"/>
                  <w:sz w:val="22"/>
                  <w:szCs w:val="22"/>
                </w:rPr>
                <w:t>https://vmu.lt/wp-content/uploads/2021/08/Antikorupcine-politika.pdf</w:t>
              </w:r>
            </w:hyperlink>
            <w:r>
              <w:rPr>
                <w:rFonts w:ascii="Arial" w:hAnsi="Arial"/>
                <w:kern w:val="2"/>
                <w:sz w:val="22"/>
                <w:szCs w:val="22"/>
              </w:rPr>
              <w:t>.</w:t>
            </w:r>
          </w:p>
          <w:p>
            <w:pPr>
              <w:pStyle w:val="Normal"/>
              <w:jc w:val="both"/>
              <w:rPr/>
            </w:pPr>
            <w:r>
              <w:rPr>
                <w:rFonts w:ascii="Arial" w:hAnsi="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3">
              <w:r>
                <w:rPr>
                  <w:rStyle w:val="Hyperlink"/>
                  <w:rFonts w:ascii="Arial" w:hAnsi="Arial"/>
                  <w:kern w:val="2"/>
                  <w:sz w:val="22"/>
                  <w:szCs w:val="22"/>
                </w:rPr>
                <w:t>https://vmu.lt/wp-content/uploads/2022/09/Dovanu-politika1.pdf</w:t>
              </w:r>
            </w:hyperlink>
            <w:r>
              <w:rPr>
                <w:rFonts w:ascii="Arial" w:hAnsi="Arial"/>
                <w:kern w:val="2"/>
                <w:sz w:val="22"/>
                <w:szCs w:val="22"/>
              </w:rPr>
              <w:t>.</w:t>
            </w:r>
          </w:p>
          <w:p>
            <w:pPr>
              <w:pStyle w:val="Normal"/>
              <w:jc w:val="both"/>
              <w:rPr/>
            </w:pPr>
            <w:r>
              <w:rPr>
                <w:rFonts w:ascii="Arial" w:hAnsi="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4">
              <w:r>
                <w:rPr>
                  <w:rStyle w:val="Hyperlink"/>
                  <w:rFonts w:ascii="Arial" w:hAnsi="Arial"/>
                  <w:kern w:val="2"/>
                  <w:sz w:val="22"/>
                  <w:szCs w:val="22"/>
                </w:rPr>
                <w:t>https://vmu.lt/wp-content/uploads/2021/08/Interesu-konfliktu-vengimo-politika.pdf</w:t>
              </w:r>
            </w:hyperlink>
            <w:r>
              <w:rPr>
                <w:rFonts w:ascii="Arial" w:hAnsi="Arial"/>
                <w:kern w:val="2"/>
                <w:sz w:val="22"/>
                <w:szCs w:val="22"/>
              </w:rPr>
              <w:t>.</w:t>
            </w:r>
          </w:p>
          <w:p>
            <w:pPr>
              <w:pStyle w:val="Normal"/>
              <w:jc w:val="both"/>
              <w:rPr/>
            </w:pPr>
            <w:r>
              <w:rPr>
                <w:rFonts w:ascii="Arial" w:hAnsi="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5">
              <w:r>
                <w:rPr>
                  <w:rStyle w:val="Hyperlink"/>
                  <w:rFonts w:ascii="Arial" w:hAnsi="Arial"/>
                  <w:kern w:val="2"/>
                  <w:sz w:val="22"/>
                  <w:szCs w:val="22"/>
                </w:rPr>
                <w:t>https://vmu.lt/korupcijos-prevencija/</w:t>
              </w:r>
            </w:hyperlink>
            <w:r>
              <w:rPr>
                <w:rFonts w:ascii="Arial" w:hAnsi="Arial"/>
                <w:kern w:val="2"/>
                <w:sz w:val="22"/>
                <w:szCs w:val="22"/>
              </w:rPr>
              <w:t>, skiltis „Tiekėjų elgesio kodeksas ir kiti reikalavimai VMU veiklos partneriams“).</w:t>
            </w:r>
          </w:p>
          <w:p>
            <w:pPr>
              <w:pStyle w:val="Normal"/>
              <w:jc w:val="both"/>
              <w:rPr>
                <w:rFonts w:ascii="Arial" w:hAnsi="Arial"/>
                <w:sz w:val="22"/>
                <w:szCs w:val="22"/>
              </w:rPr>
            </w:pPr>
            <w:r>
              <w:rPr>
                <w:rFonts w:ascii="Arial" w:hAnsi="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pPr>
              <w:pStyle w:val="Normal"/>
              <w:jc w:val="both"/>
              <w:rPr>
                <w:rFonts w:ascii="Arial" w:hAnsi="Arial"/>
                <w:sz w:val="22"/>
                <w:szCs w:val="22"/>
              </w:rPr>
            </w:pPr>
            <w:r>
              <w:rPr>
                <w:rFonts w:ascii="Arial" w:hAnsi="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pPr>
              <w:pStyle w:val="Normal"/>
              <w:jc w:val="both"/>
              <w:rPr>
                <w:rFonts w:ascii="Arial" w:hAnsi="Arial"/>
                <w:sz w:val="22"/>
                <w:szCs w:val="22"/>
              </w:rPr>
            </w:pPr>
            <w:r>
              <w:rPr>
                <w:rFonts w:ascii="Arial" w:hAnsi="Arial"/>
                <w:kern w:val="2"/>
                <w:sz w:val="22"/>
                <w:szCs w:val="22"/>
              </w:rPr>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pPr>
              <w:pStyle w:val="Normal"/>
              <w:jc w:val="both"/>
              <w:rPr>
                <w:rFonts w:ascii="Arial" w:hAnsi="Arial"/>
                <w:sz w:val="22"/>
                <w:szCs w:val="22"/>
              </w:rPr>
            </w:pPr>
            <w:r>
              <w:rPr>
                <w:rFonts w:ascii="Arial" w:hAnsi="Arial"/>
                <w:kern w:val="2"/>
                <w:sz w:val="22"/>
                <w:szCs w:val="22"/>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kern w:val="2"/>
                <w:sz w:val="22"/>
                <w:szCs w:val="22"/>
              </w:rPr>
              <w:t>14.4.</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Šalys susitaria papildyti Sutarties Bendrąsias sąlygas 26 skyriumi „Baigiamosios nuostatos“:</w:t>
            </w:r>
          </w:p>
          <w:p>
            <w:pPr>
              <w:pStyle w:val="Normal"/>
              <w:jc w:val="both"/>
              <w:rPr>
                <w:rFonts w:ascii="Arial" w:hAnsi="Arial"/>
                <w:sz w:val="22"/>
                <w:szCs w:val="22"/>
              </w:rPr>
            </w:pPr>
            <w:r>
              <w:rPr>
                <w:rFonts w:ascii="Arial" w:hAnsi="Arial"/>
                <w:kern w:val="2"/>
                <w:sz w:val="22"/>
                <w:szCs w:val="22"/>
              </w:rPr>
              <w:t>„</w:t>
            </w:r>
            <w:r>
              <w:rPr>
                <w:rFonts w:ascii="Arial" w:hAnsi="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rPr>
                <w:rFonts w:ascii="Arial" w:hAnsi="Arial"/>
                <w:sz w:val="22"/>
                <w:szCs w:val="22"/>
              </w:rPr>
            </w:pPr>
            <w:r>
              <w:rPr>
                <w:rFonts w:ascii="Arial" w:hAnsi="Arial"/>
                <w:b/>
                <w:kern w:val="2"/>
                <w:sz w:val="22"/>
                <w:szCs w:val="22"/>
              </w:rPr>
              <w:t>14.5.</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kern w:val="2"/>
                <w:sz w:val="22"/>
                <w:szCs w:val="22"/>
              </w:rPr>
              <w:t>Sutarties Bendrosiose sąlygose nurodytos alternatyvios nuostatos (su prierašu „jei taikoma“ ir pan.) taikomos tik tokiu atveju, jeigu jos konkrečiai aprašomos Sutarties Specialiosiose sąlygose arba prieduose.</w:t>
            </w:r>
          </w:p>
        </w:tc>
      </w:tr>
      <w:tr>
        <w:trPr>
          <w:trHeight w:val="300" w:hRule="atLeast"/>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15. SUTARTIES PRIEDAI</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15.1. Priedas Nr. 1</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bCs/>
                <w:kern w:val="2"/>
                <w:sz w:val="22"/>
                <w:szCs w:val="22"/>
              </w:rPr>
              <w:t xml:space="preserve">Techninė specifikacija </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15.2. Priedas Nr. 2</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ascii="Arial" w:hAnsi="Arial"/>
                <w:bCs/>
                <w:kern w:val="2"/>
                <w:sz w:val="22"/>
                <w:szCs w:val="22"/>
              </w:rPr>
              <w:t>Pasiūlymas</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15.3. Priedas Nr. 3</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eastAsia="Aptos" w:ascii="Arial" w:hAnsi="Arial"/>
                <w:bCs/>
                <w:iCs/>
                <w:sz w:val="22"/>
                <w:szCs w:val="22"/>
              </w:rPr>
              <w:t>Įsipareigojimas neatskleisti konfidencialios informacijos</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15.4. Priedas Nr. 4</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eastAsia="Aptos" w:ascii="Arial" w:hAnsi="Arial"/>
                <w:bCs/>
                <w:iCs/>
                <w:sz w:val="22"/>
                <w:szCs w:val="22"/>
              </w:rPr>
              <w:t>Bendrosios sutarties sąlygos</w:t>
            </w:r>
          </w:p>
        </w:tc>
      </w:tr>
      <w:tr>
        <w:trPr>
          <w:trHeight w:val="300" w:hRule="atLeast"/>
        </w:trPr>
        <w:tc>
          <w:tcPr>
            <w:tcW w:w="2529"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15.5. Priedas Nr. 5</w:t>
            </w:r>
          </w:p>
        </w:tc>
        <w:tc>
          <w:tcPr>
            <w:tcW w:w="7005" w:type="dxa"/>
            <w:gridSpan w:val="3"/>
            <w:tcBorders>
              <w:top w:val="single" w:sz="4" w:space="0" w:color="000000"/>
              <w:start w:val="single" w:sz="4" w:space="0" w:color="000000"/>
              <w:bottom w:val="single" w:sz="4" w:space="0" w:color="000000"/>
              <w:end w:val="single" w:sz="4" w:space="0" w:color="000000"/>
            </w:tcBorders>
          </w:tcPr>
          <w:p>
            <w:pPr>
              <w:pStyle w:val="Normal"/>
              <w:jc w:val="both"/>
              <w:rPr>
                <w:rFonts w:ascii="Arial" w:hAnsi="Arial"/>
                <w:sz w:val="22"/>
                <w:szCs w:val="22"/>
              </w:rPr>
            </w:pPr>
            <w:r>
              <w:rPr>
                <w:rFonts w:eastAsia="Aptos" w:ascii="Arial" w:hAnsi="Arial"/>
                <w:bCs/>
                <w:iCs/>
                <w:sz w:val="22"/>
                <w:szCs w:val="22"/>
              </w:rPr>
              <w:t>Sutarties vykdymui pasitelkiami subtiekėjai ir (ar) specialistai (</w:t>
            </w:r>
            <w:r>
              <w:rPr>
                <w:rFonts w:eastAsia="Aptos" w:ascii="Arial" w:hAnsi="Arial"/>
                <w:bCs/>
                <w:iCs/>
                <w:color w:val="729FCF"/>
                <w:sz w:val="22"/>
                <w:szCs w:val="22"/>
              </w:rPr>
              <w:t>jeigu taikoma</w:t>
            </w:r>
            <w:r>
              <w:rPr>
                <w:rFonts w:eastAsia="Aptos" w:ascii="Arial" w:hAnsi="Arial"/>
                <w:bCs/>
                <w:iCs/>
                <w:sz w:val="22"/>
                <w:szCs w:val="22"/>
              </w:rPr>
              <w:t>)</w:t>
            </w:r>
          </w:p>
        </w:tc>
      </w:tr>
      <w:tr>
        <w:trPr/>
        <w:tc>
          <w:tcPr>
            <w:tcW w:w="9534" w:type="dxa"/>
            <w:gridSpan w:val="4"/>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16. ŠALIŲ ATSTOVŲ PARAŠAI</w:t>
            </w:r>
          </w:p>
        </w:tc>
      </w:tr>
      <w:tr>
        <w:trPr/>
        <w:tc>
          <w:tcPr>
            <w:tcW w:w="4783" w:type="dxa"/>
            <w:gridSpan w:val="3"/>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PIRKĖJAS</w:t>
            </w:r>
          </w:p>
        </w:tc>
        <w:tc>
          <w:tcPr>
            <w:tcW w:w="4751"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b/>
                <w:bCs/>
                <w:kern w:val="2"/>
                <w:sz w:val="22"/>
                <w:szCs w:val="22"/>
              </w:rPr>
              <w:t>TIEKĖJAS</w:t>
            </w:r>
          </w:p>
        </w:tc>
      </w:tr>
      <w:tr>
        <w:trPr/>
        <w:tc>
          <w:tcPr>
            <w:tcW w:w="4783" w:type="dxa"/>
            <w:gridSpan w:val="3"/>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color w:val="4472C4"/>
                <w:kern w:val="2"/>
                <w:sz w:val="22"/>
                <w:szCs w:val="22"/>
              </w:rPr>
              <w:t>(nurodomos atstovo pareigos, vardas, pavardė)</w:t>
            </w:r>
          </w:p>
        </w:tc>
        <w:tc>
          <w:tcPr>
            <w:tcW w:w="4751"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sz w:val="22"/>
                <w:szCs w:val="22"/>
              </w:rPr>
            </w:pPr>
            <w:r>
              <w:rPr>
                <w:rFonts w:ascii="Arial" w:hAnsi="Arial"/>
                <w:color w:val="4472C4"/>
                <w:kern w:val="2"/>
                <w:sz w:val="22"/>
                <w:szCs w:val="22"/>
              </w:rPr>
              <w:t>(nurodomos atstovo pareigos, vardas, pavardė)</w:t>
            </w:r>
          </w:p>
        </w:tc>
      </w:tr>
      <w:tr>
        <w:trPr/>
        <w:tc>
          <w:tcPr>
            <w:tcW w:w="4783" w:type="dxa"/>
            <w:gridSpan w:val="3"/>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b/>
                <w:bCs/>
                <w:color w:val="4472C4"/>
                <w:kern w:val="2"/>
                <w:sz w:val="22"/>
                <w:szCs w:val="22"/>
              </w:rPr>
            </w:pPr>
            <w:r>
              <w:rPr>
                <w:rFonts w:ascii="Arial" w:hAnsi="Arial"/>
                <w:b/>
                <w:bCs/>
                <w:color w:val="4472C4"/>
                <w:kern w:val="2"/>
                <w:sz w:val="22"/>
                <w:szCs w:val="22"/>
              </w:rPr>
            </w:r>
          </w:p>
          <w:p>
            <w:pPr>
              <w:pStyle w:val="Normal"/>
              <w:jc w:val="center"/>
              <w:rPr>
                <w:rFonts w:ascii="Arial" w:hAnsi="Arial"/>
                <w:sz w:val="22"/>
                <w:szCs w:val="22"/>
              </w:rPr>
            </w:pPr>
            <w:r>
              <w:rPr>
                <w:rFonts w:ascii="Arial" w:hAnsi="Arial"/>
                <w:b/>
                <w:bCs/>
                <w:color w:val="4472C4"/>
                <w:kern w:val="2"/>
                <w:sz w:val="22"/>
                <w:szCs w:val="22"/>
              </w:rPr>
              <w:t>(parašas)</w:t>
            </w:r>
          </w:p>
          <w:p>
            <w:pPr>
              <w:pStyle w:val="Normal"/>
              <w:jc w:val="center"/>
              <w:rPr>
                <w:rFonts w:ascii="Arial" w:hAnsi="Arial"/>
                <w:b/>
                <w:bCs/>
                <w:color w:val="4472C4"/>
                <w:kern w:val="2"/>
                <w:sz w:val="22"/>
                <w:szCs w:val="22"/>
              </w:rPr>
            </w:pPr>
            <w:r>
              <w:rPr>
                <w:rFonts w:ascii="Arial" w:hAnsi="Arial"/>
                <w:b/>
                <w:bCs/>
                <w:color w:val="4472C4"/>
                <w:kern w:val="2"/>
                <w:sz w:val="22"/>
                <w:szCs w:val="22"/>
              </w:rPr>
            </w:r>
          </w:p>
          <w:p>
            <w:pPr>
              <w:pStyle w:val="Normal"/>
              <w:jc w:val="center"/>
              <w:rPr>
                <w:rFonts w:ascii="Arial" w:hAnsi="Arial"/>
                <w:b/>
                <w:bCs/>
                <w:color w:val="4472C4"/>
                <w:kern w:val="2"/>
                <w:sz w:val="22"/>
                <w:szCs w:val="22"/>
              </w:rPr>
            </w:pPr>
            <w:r>
              <w:rPr>
                <w:rFonts w:ascii="Arial" w:hAnsi="Arial"/>
                <w:b/>
                <w:bCs/>
                <w:color w:val="4472C4"/>
                <w:kern w:val="2"/>
                <w:sz w:val="22"/>
                <w:szCs w:val="22"/>
              </w:rPr>
            </w:r>
          </w:p>
        </w:tc>
        <w:tc>
          <w:tcPr>
            <w:tcW w:w="4751" w:type="dxa"/>
            <w:tcBorders>
              <w:top w:val="single" w:sz="4" w:space="0" w:color="000000"/>
              <w:start w:val="single" w:sz="4" w:space="0" w:color="000000"/>
              <w:bottom w:val="single" w:sz="4" w:space="0" w:color="000000"/>
              <w:end w:val="single" w:sz="4" w:space="0" w:color="000000"/>
            </w:tcBorders>
          </w:tcPr>
          <w:p>
            <w:pPr>
              <w:pStyle w:val="Normal"/>
              <w:jc w:val="center"/>
              <w:rPr>
                <w:rFonts w:ascii="Arial" w:hAnsi="Arial"/>
                <w:b/>
                <w:bCs/>
                <w:color w:val="4472C4"/>
                <w:kern w:val="2"/>
                <w:sz w:val="22"/>
                <w:szCs w:val="22"/>
              </w:rPr>
            </w:pPr>
            <w:r>
              <w:rPr>
                <w:rFonts w:ascii="Arial" w:hAnsi="Arial"/>
                <w:b/>
                <w:bCs/>
                <w:color w:val="4472C4"/>
                <w:kern w:val="2"/>
                <w:sz w:val="22"/>
                <w:szCs w:val="22"/>
              </w:rPr>
            </w:r>
          </w:p>
          <w:p>
            <w:pPr>
              <w:pStyle w:val="Normal"/>
              <w:jc w:val="center"/>
              <w:rPr>
                <w:rFonts w:ascii="Arial" w:hAnsi="Arial"/>
                <w:sz w:val="22"/>
                <w:szCs w:val="22"/>
              </w:rPr>
            </w:pPr>
            <w:r>
              <w:rPr>
                <w:rFonts w:ascii="Arial" w:hAnsi="Arial"/>
                <w:b/>
                <w:bCs/>
                <w:color w:val="4472C4"/>
                <w:kern w:val="2"/>
                <w:sz w:val="22"/>
                <w:szCs w:val="22"/>
              </w:rPr>
              <w:t>(parašas)</w:t>
            </w:r>
          </w:p>
        </w:tc>
      </w:tr>
    </w:tbl>
    <w:p>
      <w:pPr>
        <w:pStyle w:val="Normal"/>
        <w:widowControl w:val="false"/>
        <w:tabs>
          <w:tab w:val="clear" w:pos="1296"/>
          <w:tab w:val="left" w:pos="567" w:leader="none"/>
          <w:tab w:val="left" w:pos="851" w:leader="none"/>
        </w:tabs>
        <w:jc w:val="center"/>
        <w:rPr>
          <w:rFonts w:ascii="Arial" w:hAnsi="Arial"/>
          <w:b/>
          <w:bCs/>
          <w:caps/>
          <w:kern w:val="2"/>
          <w:sz w:val="22"/>
          <w:szCs w:val="22"/>
        </w:rPr>
      </w:pPr>
      <w:r>
        <w:rPr>
          <w:rFonts w:ascii="Arial" w:hAnsi="Arial"/>
          <w:b/>
          <w:bCs/>
          <w:caps/>
          <w:kern w:val="2"/>
          <w:sz w:val="22"/>
          <w:szCs w:val="22"/>
        </w:rPr>
      </w:r>
    </w:p>
    <w:p>
      <w:pPr>
        <w:pStyle w:val="Normal"/>
        <w:widowControl w:val="false"/>
        <w:tabs>
          <w:tab w:val="clear" w:pos="1296"/>
          <w:tab w:val="left" w:pos="567" w:leader="none"/>
          <w:tab w:val="left" w:pos="851" w:leader="none"/>
        </w:tabs>
        <w:jc w:val="center"/>
        <w:rPr>
          <w:rFonts w:ascii="Arial" w:hAnsi="Arial"/>
          <w:b/>
          <w:bCs/>
          <w:caps/>
          <w:kern w:val="2"/>
          <w:sz w:val="22"/>
          <w:szCs w:val="22"/>
        </w:rPr>
      </w:pPr>
      <w:r>
        <w:rPr>
          <w:rFonts w:ascii="Arial" w:hAnsi="Arial"/>
          <w:b/>
          <w:bCs/>
          <w:caps/>
          <w:kern w:val="2"/>
          <w:sz w:val="22"/>
          <w:szCs w:val="22"/>
        </w:rPr>
      </w:r>
    </w:p>
    <w:p>
      <w:pPr>
        <w:pStyle w:val="Normal"/>
        <w:tabs>
          <w:tab w:val="clear" w:pos="1296"/>
          <w:tab w:val="left" w:pos="993" w:leader="none"/>
        </w:tabs>
        <w:ind w:firstLine="567"/>
        <w:jc w:val="both"/>
        <w:rPr>
          <w:rFonts w:ascii="Arial" w:hAnsi="Arial"/>
          <w:sz w:val="22"/>
          <w:szCs w:val="22"/>
        </w:rPr>
      </w:pPr>
      <w:r>
        <w:rPr>
          <w:rFonts w:eastAsia="Calibri" w:cs="Arial" w:ascii="Arial" w:hAnsi="Arial"/>
          <w:sz w:val="22"/>
          <w:szCs w:val="22"/>
        </w:rPr>
        <w:t xml:space="preserve">Už Sutarties rengimą, jos pakeitimų, ataskaitų paskelbimą teisės aktų nustatyta tvarka CVP IS atsakinga: Užsakovo </w:t>
      </w:r>
      <w:r>
        <w:rPr>
          <w:rFonts w:eastAsia="Calibri" w:cs="Arial" w:ascii="Arial" w:hAnsi="Arial"/>
          <w:i/>
          <w:color w:themeColor="accent6" w:themeShade="bf" w:val="538135"/>
          <w:sz w:val="22"/>
          <w:szCs w:val="22"/>
        </w:rPr>
        <w:t>(Centrinė administracija/regioninio (-ių) padalinio (-ių) pavadinimas, pareigos, vardas, pavardė, elektroninis paštas ir telefono numeris)</w:t>
      </w:r>
      <w:r>
        <w:rPr>
          <w:rFonts w:eastAsia="Calibri" w:cs="Arial" w:ascii="Arial" w:hAnsi="Arial"/>
          <w:i/>
          <w:sz w:val="22"/>
          <w:szCs w:val="22"/>
        </w:rPr>
        <w:t>.</w:t>
      </w:r>
    </w:p>
    <w:p>
      <w:pPr>
        <w:pStyle w:val="Normal"/>
        <w:tabs>
          <w:tab w:val="clear" w:pos="1296"/>
          <w:tab w:val="left" w:pos="993" w:leader="none"/>
        </w:tabs>
        <w:ind w:firstLine="567"/>
        <w:jc w:val="both"/>
        <w:rPr>
          <w:rFonts w:ascii="Arial" w:hAnsi="Arial"/>
          <w:sz w:val="22"/>
          <w:szCs w:val="22"/>
        </w:rPr>
      </w:pPr>
      <w:r>
        <w:rPr>
          <w:rFonts w:eastAsia="Calibri" w:cs="Arial" w:ascii="Arial" w:hAnsi="Arial"/>
          <w:sz w:val="22"/>
          <w:szCs w:val="22"/>
        </w:rPr>
        <w:t xml:space="preserve">Už Sutarties vykdymą ir Sąskaitų priėmimą atsakingas(-a): Užsakovo </w:t>
      </w:r>
      <w:r>
        <w:rPr>
          <w:rFonts w:eastAsia="Calibri" w:cs="Arial" w:ascii="Arial" w:hAnsi="Arial"/>
          <w:i/>
          <w:color w:themeColor="accent6" w:themeShade="bf" w:val="538135"/>
          <w:sz w:val="22"/>
          <w:szCs w:val="22"/>
        </w:rPr>
        <w:t>(Centrinė administracija/regioninio (-ių) padalinio (-ių) pavadinimas, pareigos, vardas, pavardė, elektroninis paštas ir telefono numeris)</w:t>
      </w:r>
      <w:r>
        <w:rPr>
          <w:rFonts w:eastAsia="Calibri" w:cs="Arial" w:ascii="Arial" w:hAnsi="Arial"/>
          <w:sz w:val="22"/>
          <w:szCs w:val="22"/>
        </w:rPr>
        <w:t>.</w:t>
      </w:r>
    </w:p>
    <w:p>
      <w:pPr>
        <w:pStyle w:val="Normal"/>
        <w:jc w:val="center"/>
        <w:rPr>
          <w:rFonts w:ascii="Arial" w:hAnsi="Arial"/>
          <w:sz w:val="22"/>
          <w:szCs w:val="22"/>
        </w:rPr>
      </w:pPr>
      <w:r>
        <w:rPr>
          <w:rFonts w:ascii="Arial" w:hAnsi="Arial"/>
          <w:color w:val="000000"/>
          <w:sz w:val="22"/>
          <w:szCs w:val="22"/>
        </w:rPr>
        <w:t>_______________</w:t>
      </w:r>
    </w:p>
    <w:sectPr>
      <w:headerReference w:type="even" r:id="rId6"/>
      <w:headerReference w:type="default" r:id="rId7"/>
      <w:headerReference w:type="first" r:id="rId8"/>
      <w:footerReference w:type="even" r:id="rId9"/>
      <w:footerReference w:type="default" r:id="rId10"/>
      <w:footerReference w:type="first" r:id="rId11"/>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0" w:characterSet="windows-1252"/>
    <w:family w:val="auto"/>
    <w:pitch w:val="variable"/>
  </w:font>
  <w:font w:name="Liberation Sans">
    <w:altName w:val="Arial"/>
    <w:charset w:val="00" w:characterSet="windows-1252"/>
    <w:family w:val="swiss"/>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20"/>
  <w:defaultTabStop w:val="1296"/>
  <w:autoHyphenation w:val="true"/>
  <w:doNotHyphenateCaps/>
  <w:hyphenationZone w:val="396"/>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star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InternetLink" w:customStyle="1">
    <w:name w:val="Internet Link"/>
    <w:qFormat/>
    <w:rPr>
      <w:color w:val="000080"/>
      <w:u w:val="single"/>
    </w:rPr>
  </w:style>
  <w:style w:type="character" w:styleId="InternetLink1" w:customStyle="1">
    <w:name w:val="Internet Link1"/>
    <w:qFormat/>
    <w:rPr>
      <w:color w:val="000080"/>
      <w:u w:val="single"/>
    </w:rPr>
  </w:style>
  <w:style w:type="character" w:styleId="InternetLink2" w:customStyle="1">
    <w:name w:val="Internet Link2"/>
    <w:qFormat/>
    <w:rPr>
      <w:color w:val="000080"/>
      <w:u w:val="single"/>
    </w:rPr>
  </w:style>
  <w:style w:type="character" w:styleId="Bullets" w:customStyle="1">
    <w:name w:val="Bullets"/>
    <w:qFormat/>
    <w:rPr>
      <w:rFonts w:ascii="OpenSymbol" w:hAnsi="OpenSymbol" w:eastAsia="OpenSymbol" w:cs="OpenSymbol"/>
    </w:rPr>
  </w:style>
  <w:style w:type="character" w:styleId="CommentReference">
    <w:name w:val="annotation reference"/>
    <w:basedOn w:val="DefaultParagraphFont"/>
    <w:semiHidden/>
    <w:unhideWhenUsed/>
    <w:qFormat/>
    <w:rsid w:val="00f87d2a"/>
    <w:rPr>
      <w:sz w:val="16"/>
      <w:szCs w:val="16"/>
    </w:rPr>
  </w:style>
  <w:style w:type="character" w:styleId="KomentarotekstasDiagrama" w:customStyle="1">
    <w:name w:val="Komentaro tekstas Diagrama"/>
    <w:basedOn w:val="DefaultParagraphFont"/>
    <w:qFormat/>
    <w:rsid w:val="00f87d2a"/>
    <w:rPr>
      <w:sz w:val="20"/>
    </w:rPr>
  </w:style>
  <w:style w:type="character" w:styleId="KomentarotemaDiagrama" w:customStyle="1">
    <w:name w:val="Komentaro tema Diagrama"/>
    <w:basedOn w:val="KomentarotekstasDiagrama"/>
    <w:link w:val="annotationsubject"/>
    <w:semiHidden/>
    <w:qFormat/>
    <w:rsid w:val="00f87d2a"/>
    <w:rPr>
      <w:b/>
      <w:bCs/>
      <w:sz w:val="20"/>
    </w:rPr>
  </w:style>
  <w:style w:type="character" w:styleId="InternetLink3" w:customStyle="1">
    <w:name w:val="Internet Link3"/>
    <w:qFormat/>
    <w:rPr>
      <w:color w:val="000080"/>
      <w:u w:val="single"/>
    </w:rPr>
  </w:style>
  <w:style w:type="character" w:styleId="LineNumbering" w:customStyle="1">
    <w:name w:val="Line Numbering"/>
    <w:qFormat/>
    <w:rPr/>
  </w:style>
  <w:style w:type="character" w:styleId="InternetLink4">
    <w:name w:val="Internet Link4"/>
    <w:qFormat/>
    <w:rPr>
      <w:color w:val="000080"/>
      <w:u w:val="single"/>
    </w:rPr>
  </w:style>
  <w:style w:type="character" w:styleId="LineNumbering1">
    <w:name w:val="Line Numbering1"/>
    <w:qFormat/>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Cs w:val="24"/>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ListParagraph">
    <w:name w:val="List Paragraph"/>
    <w:basedOn w:val="Normal"/>
    <w:qFormat/>
    <w:pPr>
      <w:spacing w:before="0" w:after="160"/>
      <w:ind w:start="720"/>
      <w:contextualSpacing/>
    </w:pPr>
    <w:rPr/>
  </w:style>
  <w:style w:type="paragraph" w:styleId="Lentelsturinys" w:customStyle="1">
    <w:name w:val="Lentelės turinys"/>
    <w:basedOn w:val="Normal"/>
    <w:qFormat/>
    <w:pPr>
      <w:widowControl w:val="false"/>
      <w:suppressLineNumbers/>
    </w:pPr>
    <w:rPr/>
  </w:style>
  <w:style w:type="paragraph" w:styleId="Lentelsantrat" w:customStyle="1">
    <w:name w:val="Lentelės antraštė"/>
    <w:basedOn w:val="Lentelsturinys"/>
    <w:qFormat/>
    <w:pPr>
      <w:jc w:val="center"/>
    </w:pPr>
    <w:rPr>
      <w:b/>
      <w:bCs/>
    </w:rPr>
  </w:style>
  <w:style w:type="paragraph" w:styleId="Revision">
    <w:name w:val="Revision"/>
    <w:semiHidden/>
    <w:qFormat/>
    <w:rsid w:val="00713fea"/>
    <w:pPr>
      <w:widowControl/>
      <w:suppressAutoHyphens w:val="false"/>
      <w:bidi w:val="0"/>
      <w:spacing w:before="0" w:after="0"/>
      <w:jc w:val="start"/>
    </w:pPr>
    <w:rPr>
      <w:rFonts w:ascii="Times New Roman" w:hAnsi="Times New Roman" w:eastAsia="Times New Roman" w:cs="Times New Roman"/>
      <w:color w:val="auto"/>
      <w:kern w:val="0"/>
      <w:sz w:val="24"/>
      <w:szCs w:val="20"/>
      <w:lang w:val="lt-LT" w:eastAsia="en-US" w:bidi="ar-SA"/>
    </w:rPr>
  </w:style>
  <w:style w:type="paragraph" w:styleId="CommentText">
    <w:name w:val="annotation text"/>
    <w:basedOn w:val="Normal"/>
    <w:link w:val="KomentarotekstasDiagrama"/>
    <w:unhideWhenUsed/>
    <w:rsid w:val="00f87d2a"/>
    <w:pPr/>
    <w:rPr>
      <w:sz w:val="20"/>
    </w:rPr>
  </w:style>
  <w:style w:type="paragraph" w:styleId="annotationsubject">
    <w:name w:val="annotation subject"/>
    <w:basedOn w:val="CommentText"/>
    <w:next w:val="CommentText"/>
    <w:link w:val="KomentarotemaDiagrama"/>
    <w:semiHidden/>
    <w:unhideWhenUsed/>
    <w:qFormat/>
    <w:rsid w:val="00f87d2a"/>
    <w:pPr/>
    <w:rPr>
      <w:b/>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vmu.lt/wp-content/uploads/2021/08/Antikorupcine-politika.pdf" TargetMode="External"/><Relationship Id="rId3" Type="http://schemas.openxmlformats.org/officeDocument/2006/relationships/hyperlink" Target="https://vmu.lt/wp-content/uploads/2022/09/Dovanu-politika1.pdf" TargetMode="External"/><Relationship Id="rId4" Type="http://schemas.openxmlformats.org/officeDocument/2006/relationships/hyperlink" Target="https://vmu.lt/wp-content/uploads/2021/08/Interesu-konfliktu-vengimo-politika.pdf" TargetMode="External"/><Relationship Id="rId5" Type="http://schemas.openxmlformats.org/officeDocument/2006/relationships/hyperlink" Target="https://vmu.lt/korupcijos-prevencija/" TargetMode="Externa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oter" Target="footer3.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Application>LibreOffice/24.8.0.3$Windows_X86_64 LibreOffice_project/0bdf1299c94fe897b119f97f3c613e9dca6be583</Application>
  <AppVersion>15.0000</AppVersion>
  <Pages>11</Pages>
  <Words>3192</Words>
  <Characters>22856</Characters>
  <CharactersWithSpaces>25833</CharactersWithSpaces>
  <Paragraphs>239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2026-05-20T11:34:00Z</dcterms:created>
  <dc:creator>Ieva Rimšienė | VMU</dc:creator>
  <dc:description/>
  <dc:language>lt-LT</dc:language>
  <cp:lastModifiedBy/>
  <dcterms:modified xsi:type="dcterms:W3CDTF">2026-06-15T14:04:26Z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